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140"/>
        <w:gridCol w:w="9"/>
        <w:gridCol w:w="1452"/>
        <w:gridCol w:w="1435"/>
        <w:gridCol w:w="1365"/>
        <w:gridCol w:w="1372"/>
      </w:tblGrid>
      <w:tr w:rsidR="00B132E5" w:rsidRPr="00776F4B" w:rsidTr="00202F45">
        <w:tc>
          <w:tcPr>
            <w:tcW w:w="9576" w:type="dxa"/>
            <w:gridSpan w:val="7"/>
            <w:shd w:val="clear" w:color="auto" w:fill="262626"/>
          </w:tcPr>
          <w:p w:rsidR="00B132E5" w:rsidRPr="00776F4B" w:rsidRDefault="00B132E5" w:rsidP="004B3C40">
            <w:pPr>
              <w:spacing w:after="0" w:line="240" w:lineRule="auto"/>
              <w:jc w:val="center"/>
              <w:rPr>
                <w:b/>
                <w:lang w:val="mk-MK"/>
              </w:rPr>
            </w:pPr>
            <w:bookmarkStart w:id="0" w:name="_GoBack"/>
            <w:bookmarkEnd w:id="0"/>
            <w:r w:rsidRPr="00776F4B">
              <w:rPr>
                <w:rFonts w:eastAsia="Times New Roman"/>
                <w:color w:val="EEECE1"/>
                <w:spacing w:val="-12"/>
                <w:w w:val="123"/>
                <w:sz w:val="20"/>
                <w:szCs w:val="20"/>
                <w:lang w:val="mk-MK"/>
              </w:rPr>
              <w:t>Шаблон за завршување на заложбите</w:t>
            </w:r>
          </w:p>
        </w:tc>
      </w:tr>
      <w:tr w:rsidR="00B132E5" w:rsidRPr="00776F4B" w:rsidTr="00202F45">
        <w:tc>
          <w:tcPr>
            <w:tcW w:w="9576" w:type="dxa"/>
            <w:gridSpan w:val="7"/>
          </w:tcPr>
          <w:p w:rsidR="00B132E5" w:rsidRPr="00776F4B" w:rsidRDefault="00B132E5" w:rsidP="004B3C40">
            <w:pPr>
              <w:pStyle w:val="ListParagraph"/>
              <w:numPr>
                <w:ilvl w:val="0"/>
                <w:numId w:val="1"/>
              </w:numPr>
              <w:spacing w:after="0" w:line="240" w:lineRule="auto"/>
              <w:jc w:val="center"/>
              <w:rPr>
                <w:b/>
                <w:color w:val="262626"/>
                <w:lang w:val="mk-MK"/>
              </w:rPr>
            </w:pPr>
            <w:r w:rsidRPr="00776F4B">
              <w:rPr>
                <w:b/>
                <w:color w:val="262626"/>
                <w:lang w:val="mk-MK"/>
              </w:rPr>
              <w:t>Слобода на информации</w:t>
            </w:r>
          </w:p>
        </w:tc>
      </w:tr>
      <w:tr w:rsidR="00B132E5" w:rsidRPr="00776F4B" w:rsidTr="00202F45">
        <w:tc>
          <w:tcPr>
            <w:tcW w:w="3943" w:type="dxa"/>
            <w:gridSpan w:val="2"/>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Водечка агенција за спроведување</w:t>
            </w:r>
          </w:p>
        </w:tc>
        <w:tc>
          <w:tcPr>
            <w:tcW w:w="5633" w:type="dxa"/>
            <w:gridSpan w:val="5"/>
          </w:tcPr>
          <w:p w:rsidR="00B132E5" w:rsidRPr="00776F4B" w:rsidRDefault="00B132E5" w:rsidP="004B3C40">
            <w:pPr>
              <w:spacing w:after="0" w:line="240" w:lineRule="auto"/>
              <w:jc w:val="both"/>
              <w:rPr>
                <w:sz w:val="20"/>
                <w:szCs w:val="20"/>
                <w:lang w:val="mk-MK"/>
              </w:rPr>
            </w:pPr>
            <w:r w:rsidRPr="00776F4B">
              <w:rPr>
                <w:sz w:val="20"/>
                <w:szCs w:val="20"/>
                <w:lang w:val="mk-MK"/>
              </w:rPr>
              <w:t xml:space="preserve"> Комисија за заштита на правото за слободен пристап до информациите од јавен карактер</w:t>
            </w:r>
          </w:p>
        </w:tc>
      </w:tr>
      <w:tr w:rsidR="00B132E5" w:rsidRPr="00776F4B" w:rsidTr="00202F45">
        <w:tc>
          <w:tcPr>
            <w:tcW w:w="3943" w:type="dxa"/>
            <w:gridSpan w:val="2"/>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Име на одговорно лице од агенција за спроведување</w:t>
            </w:r>
          </w:p>
        </w:tc>
        <w:tc>
          <w:tcPr>
            <w:tcW w:w="5633" w:type="dxa"/>
            <w:gridSpan w:val="5"/>
          </w:tcPr>
          <w:p w:rsidR="00B132E5" w:rsidRPr="00776F4B" w:rsidRDefault="00B132E5" w:rsidP="004B3C40">
            <w:pPr>
              <w:spacing w:after="0" w:line="240" w:lineRule="auto"/>
              <w:jc w:val="both"/>
              <w:rPr>
                <w:sz w:val="20"/>
                <w:szCs w:val="20"/>
                <w:lang w:val="mk-MK"/>
              </w:rPr>
            </w:pPr>
            <w:r w:rsidRPr="00776F4B">
              <w:rPr>
                <w:sz w:val="20"/>
                <w:szCs w:val="20"/>
                <w:lang w:val="mk-MK"/>
              </w:rPr>
              <w:t>Пеце Ташевски,координатор</w:t>
            </w:r>
          </w:p>
          <w:p w:rsidR="00B132E5" w:rsidRPr="00776F4B" w:rsidRDefault="00B132E5" w:rsidP="004B3C40">
            <w:pPr>
              <w:spacing w:after="0" w:line="240" w:lineRule="auto"/>
              <w:jc w:val="both"/>
              <w:rPr>
                <w:sz w:val="20"/>
                <w:szCs w:val="20"/>
                <w:lang w:val="mk-MK"/>
              </w:rPr>
            </w:pPr>
            <w:r w:rsidRPr="00776F4B">
              <w:rPr>
                <w:sz w:val="20"/>
                <w:szCs w:val="20"/>
                <w:lang w:val="mk-MK"/>
              </w:rPr>
              <w:t xml:space="preserve">Оливер Серафимовски, заменик координатор </w:t>
            </w:r>
          </w:p>
        </w:tc>
      </w:tr>
      <w:tr w:rsidR="00B132E5" w:rsidRPr="00776F4B" w:rsidTr="00202F45">
        <w:tc>
          <w:tcPr>
            <w:tcW w:w="3943" w:type="dxa"/>
            <w:gridSpan w:val="2"/>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Назив, Одделение</w:t>
            </w:r>
          </w:p>
        </w:tc>
        <w:tc>
          <w:tcPr>
            <w:tcW w:w="5633" w:type="dxa"/>
            <w:gridSpan w:val="5"/>
          </w:tcPr>
          <w:p w:rsidR="00B132E5" w:rsidRPr="00776F4B" w:rsidRDefault="00B132E5" w:rsidP="004B3C40">
            <w:pPr>
              <w:spacing w:after="0" w:line="240" w:lineRule="auto"/>
              <w:jc w:val="both"/>
              <w:rPr>
                <w:sz w:val="20"/>
                <w:szCs w:val="20"/>
                <w:lang w:val="mk-MK"/>
              </w:rPr>
            </w:pPr>
            <w:r w:rsidRPr="00776F4B">
              <w:rPr>
                <w:sz w:val="20"/>
                <w:szCs w:val="20"/>
                <w:lang w:val="mk-MK"/>
              </w:rPr>
              <w:t>Претседател на Комисијата;</w:t>
            </w:r>
          </w:p>
          <w:p w:rsidR="00B132E5" w:rsidRPr="00776F4B" w:rsidRDefault="00B132E5" w:rsidP="004B3C40">
            <w:pPr>
              <w:spacing w:after="0" w:line="240" w:lineRule="auto"/>
              <w:jc w:val="both"/>
              <w:rPr>
                <w:sz w:val="20"/>
                <w:szCs w:val="20"/>
              </w:rPr>
            </w:pPr>
            <w:r w:rsidRPr="00776F4B">
              <w:rPr>
                <w:sz w:val="20"/>
                <w:szCs w:val="20"/>
                <w:lang w:val="mk-MK"/>
              </w:rPr>
              <w:t>Помлад соработник во Секретаријатот на Комисијата</w:t>
            </w:r>
          </w:p>
        </w:tc>
      </w:tr>
      <w:tr w:rsidR="00B132E5" w:rsidRPr="00776F4B" w:rsidTr="00202F45">
        <w:tc>
          <w:tcPr>
            <w:tcW w:w="3943" w:type="dxa"/>
            <w:gridSpan w:val="2"/>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 xml:space="preserve">          Е-пошгта</w:t>
            </w:r>
          </w:p>
        </w:tc>
        <w:tc>
          <w:tcPr>
            <w:tcW w:w="5633" w:type="dxa"/>
            <w:gridSpan w:val="5"/>
          </w:tcPr>
          <w:p w:rsidR="00B132E5" w:rsidRPr="00776F4B" w:rsidRDefault="008F10C7" w:rsidP="004B3C40">
            <w:pPr>
              <w:spacing w:after="0" w:line="240" w:lineRule="auto"/>
              <w:jc w:val="both"/>
              <w:rPr>
                <w:sz w:val="20"/>
                <w:szCs w:val="20"/>
                <w:lang w:val="mk-MK"/>
              </w:rPr>
            </w:pPr>
            <w:hyperlink r:id="rId6" w:history="1">
              <w:r w:rsidR="00B132E5" w:rsidRPr="00776F4B">
                <w:rPr>
                  <w:rStyle w:val="Hyperlink"/>
                  <w:sz w:val="20"/>
                  <w:szCs w:val="20"/>
                </w:rPr>
                <w:t>komspi@komspi.mk</w:t>
              </w:r>
            </w:hyperlink>
            <w:r w:rsidR="00B132E5" w:rsidRPr="00776F4B">
              <w:rPr>
                <w:sz w:val="20"/>
                <w:szCs w:val="20"/>
              </w:rPr>
              <w:t xml:space="preserve">; </w:t>
            </w:r>
          </w:p>
          <w:p w:rsidR="00B132E5" w:rsidRPr="00776F4B" w:rsidRDefault="008F10C7" w:rsidP="004B3C40">
            <w:pPr>
              <w:spacing w:after="0" w:line="240" w:lineRule="auto"/>
              <w:jc w:val="both"/>
              <w:rPr>
                <w:sz w:val="20"/>
                <w:szCs w:val="20"/>
              </w:rPr>
            </w:pPr>
            <w:hyperlink r:id="rId7" w:history="1">
              <w:r w:rsidR="00B132E5" w:rsidRPr="00776F4B">
                <w:rPr>
                  <w:rStyle w:val="Hyperlink"/>
                  <w:sz w:val="20"/>
                  <w:szCs w:val="20"/>
                </w:rPr>
                <w:t>pecetashevski@komspi.mk</w:t>
              </w:r>
            </w:hyperlink>
            <w:r w:rsidR="00B132E5" w:rsidRPr="00776F4B">
              <w:rPr>
                <w:sz w:val="20"/>
                <w:szCs w:val="20"/>
              </w:rPr>
              <w:t xml:space="preserve">; </w:t>
            </w:r>
            <w:hyperlink r:id="rId8" w:history="1">
              <w:r w:rsidR="00B132E5" w:rsidRPr="00776F4B">
                <w:rPr>
                  <w:rStyle w:val="Hyperlink"/>
                  <w:sz w:val="20"/>
                  <w:szCs w:val="20"/>
                </w:rPr>
                <w:t>oliverserafimovski@komspi.mk</w:t>
              </w:r>
            </w:hyperlink>
            <w:r w:rsidR="00B132E5" w:rsidRPr="00776F4B">
              <w:rPr>
                <w:sz w:val="20"/>
                <w:szCs w:val="20"/>
              </w:rPr>
              <w:t xml:space="preserve">: </w:t>
            </w:r>
          </w:p>
        </w:tc>
      </w:tr>
      <w:tr w:rsidR="00B132E5" w:rsidRPr="00776F4B" w:rsidTr="00202F45">
        <w:tc>
          <w:tcPr>
            <w:tcW w:w="3943" w:type="dxa"/>
            <w:gridSpan w:val="2"/>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Телефон</w:t>
            </w:r>
          </w:p>
        </w:tc>
        <w:tc>
          <w:tcPr>
            <w:tcW w:w="5633" w:type="dxa"/>
            <w:gridSpan w:val="5"/>
          </w:tcPr>
          <w:p w:rsidR="00B132E5" w:rsidRPr="00776F4B" w:rsidRDefault="00B132E5" w:rsidP="004B3C40">
            <w:pPr>
              <w:spacing w:after="0" w:line="240" w:lineRule="auto"/>
              <w:jc w:val="both"/>
              <w:rPr>
                <w:sz w:val="20"/>
                <w:szCs w:val="20"/>
                <w:lang w:val="mk-MK"/>
              </w:rPr>
            </w:pPr>
            <w:r w:rsidRPr="00776F4B">
              <w:rPr>
                <w:sz w:val="20"/>
                <w:szCs w:val="20"/>
              </w:rPr>
              <w:t xml:space="preserve">02/3118-038; 070/303-739 </w:t>
            </w:r>
            <w:r w:rsidRPr="00776F4B">
              <w:rPr>
                <w:sz w:val="20"/>
                <w:szCs w:val="20"/>
                <w:lang w:val="mk-MK"/>
              </w:rPr>
              <w:t>и 071/229-214</w:t>
            </w:r>
          </w:p>
        </w:tc>
      </w:tr>
      <w:tr w:rsidR="00B132E5" w:rsidRPr="00776F4B" w:rsidTr="00202F45">
        <w:trPr>
          <w:trHeight w:val="486"/>
        </w:trPr>
        <w:tc>
          <w:tcPr>
            <w:tcW w:w="1803" w:type="dxa"/>
            <w:vMerge w:val="restart"/>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 xml:space="preserve">          Други</w:t>
            </w:r>
          </w:p>
          <w:p w:rsidR="00B132E5" w:rsidRPr="00776F4B" w:rsidRDefault="00B132E5" w:rsidP="004B3C40">
            <w:pPr>
              <w:pStyle w:val="ListParagraph"/>
              <w:spacing w:after="0" w:line="240" w:lineRule="auto"/>
              <w:ind w:left="360"/>
              <w:jc w:val="both"/>
              <w:rPr>
                <w:color w:val="878786"/>
                <w:spacing w:val="-6"/>
                <w:w w:val="124"/>
                <w:sz w:val="18"/>
                <w:szCs w:val="18"/>
                <w:lang w:val="mk-MK"/>
              </w:rPr>
            </w:pPr>
            <w:r w:rsidRPr="00776F4B">
              <w:rPr>
                <w:color w:val="878786"/>
                <w:spacing w:val="-6"/>
                <w:w w:val="124"/>
                <w:sz w:val="18"/>
                <w:szCs w:val="18"/>
                <w:lang w:val="mk-MK"/>
              </w:rPr>
              <w:t>Инволвирани учесници</w:t>
            </w:r>
          </w:p>
          <w:p w:rsidR="00B132E5" w:rsidRPr="00776F4B" w:rsidRDefault="00B132E5" w:rsidP="004B3C40">
            <w:pPr>
              <w:pStyle w:val="ListParagraph"/>
              <w:spacing w:after="0" w:line="240" w:lineRule="auto"/>
              <w:ind w:left="360"/>
              <w:jc w:val="both"/>
              <w:rPr>
                <w:color w:val="878786"/>
                <w:spacing w:val="-6"/>
                <w:w w:val="124"/>
                <w:sz w:val="18"/>
                <w:szCs w:val="18"/>
                <w:lang w:val="mk-MK"/>
              </w:rPr>
            </w:pPr>
          </w:p>
          <w:p w:rsidR="00B132E5" w:rsidRPr="00776F4B" w:rsidRDefault="00B132E5" w:rsidP="004B3C40">
            <w:pPr>
              <w:pStyle w:val="ListParagraph"/>
              <w:spacing w:after="0" w:line="240" w:lineRule="auto"/>
              <w:ind w:left="360"/>
              <w:jc w:val="both"/>
              <w:rPr>
                <w:color w:val="878786"/>
                <w:spacing w:val="-6"/>
                <w:w w:val="124"/>
                <w:sz w:val="18"/>
                <w:szCs w:val="18"/>
                <w:lang w:val="mk-MK"/>
              </w:rPr>
            </w:pPr>
          </w:p>
        </w:tc>
        <w:tc>
          <w:tcPr>
            <w:tcW w:w="2140"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Влада</w:t>
            </w:r>
          </w:p>
        </w:tc>
        <w:tc>
          <w:tcPr>
            <w:tcW w:w="5633" w:type="dxa"/>
            <w:gridSpan w:val="5"/>
          </w:tcPr>
          <w:p w:rsidR="00B132E5" w:rsidRPr="00776F4B" w:rsidRDefault="00B132E5" w:rsidP="004B3C40">
            <w:pPr>
              <w:spacing w:after="0" w:line="240" w:lineRule="auto"/>
              <w:jc w:val="both"/>
              <w:rPr>
                <w:sz w:val="20"/>
                <w:szCs w:val="20"/>
                <w:lang w:val="mk-MK"/>
              </w:rPr>
            </w:pPr>
            <w:r w:rsidRPr="00776F4B">
              <w:rPr>
                <w:sz w:val="20"/>
                <w:szCs w:val="20"/>
                <w:lang w:val="mk-MK"/>
              </w:rPr>
              <w:t xml:space="preserve">Министерство за информатичко општество и администрација; </w:t>
            </w:r>
          </w:p>
          <w:p w:rsidR="00B132E5" w:rsidRPr="00776F4B" w:rsidRDefault="00B132E5" w:rsidP="004B3C40">
            <w:pPr>
              <w:spacing w:after="0" w:line="240" w:lineRule="auto"/>
              <w:jc w:val="both"/>
              <w:rPr>
                <w:sz w:val="20"/>
                <w:szCs w:val="20"/>
                <w:lang w:val="mk-MK"/>
              </w:rPr>
            </w:pPr>
            <w:r w:rsidRPr="00776F4B">
              <w:rPr>
                <w:sz w:val="20"/>
                <w:szCs w:val="20"/>
                <w:lang w:val="mk-MK"/>
              </w:rPr>
              <w:t xml:space="preserve">Министерство за правда и </w:t>
            </w:r>
          </w:p>
          <w:p w:rsidR="00B132E5" w:rsidRPr="00776F4B" w:rsidRDefault="00B132E5" w:rsidP="004B3C40">
            <w:pPr>
              <w:spacing w:after="0" w:line="240" w:lineRule="auto"/>
              <w:jc w:val="both"/>
              <w:rPr>
                <w:sz w:val="20"/>
                <w:szCs w:val="20"/>
                <w:lang w:val="mk-MK"/>
              </w:rPr>
            </w:pPr>
            <w:r w:rsidRPr="00776F4B">
              <w:rPr>
                <w:sz w:val="20"/>
                <w:szCs w:val="20"/>
                <w:lang w:val="mk-MK"/>
              </w:rPr>
              <w:t>Министерство за финансии</w:t>
            </w:r>
          </w:p>
        </w:tc>
      </w:tr>
      <w:tr w:rsidR="00B132E5" w:rsidRPr="00776F4B" w:rsidTr="00202F45">
        <w:trPr>
          <w:trHeight w:val="625"/>
        </w:trPr>
        <w:tc>
          <w:tcPr>
            <w:tcW w:w="1803" w:type="dxa"/>
            <w:vMerge/>
          </w:tcPr>
          <w:p w:rsidR="00B132E5" w:rsidRPr="00776F4B" w:rsidRDefault="00B132E5" w:rsidP="004B3C40">
            <w:pPr>
              <w:spacing w:after="0" w:line="240" w:lineRule="auto"/>
              <w:jc w:val="both"/>
              <w:rPr>
                <w:color w:val="878786"/>
                <w:spacing w:val="-6"/>
                <w:w w:val="124"/>
                <w:sz w:val="18"/>
                <w:szCs w:val="18"/>
                <w:lang w:val="mk-MK"/>
              </w:rPr>
            </w:pPr>
          </w:p>
        </w:tc>
        <w:tc>
          <w:tcPr>
            <w:tcW w:w="2140" w:type="dxa"/>
          </w:tcPr>
          <w:p w:rsidR="00B132E5" w:rsidRPr="00776F4B" w:rsidRDefault="00B132E5" w:rsidP="004B3C40">
            <w:pPr>
              <w:pStyle w:val="ListParagraph"/>
              <w:spacing w:after="0" w:line="240" w:lineRule="auto"/>
              <w:ind w:left="0"/>
              <w:jc w:val="both"/>
              <w:rPr>
                <w:color w:val="878786"/>
                <w:spacing w:val="-6"/>
                <w:w w:val="124"/>
                <w:sz w:val="18"/>
                <w:szCs w:val="18"/>
                <w:lang w:val="mk-MK"/>
              </w:rPr>
            </w:pPr>
            <w:r w:rsidRPr="00776F4B">
              <w:rPr>
                <w:color w:val="878786"/>
                <w:spacing w:val="-6"/>
                <w:w w:val="124"/>
                <w:sz w:val="18"/>
                <w:szCs w:val="18"/>
                <w:lang w:val="mk-MK"/>
              </w:rPr>
              <w:t xml:space="preserve">ЦСО, приватен сектор,работни групи,мултилатерали  </w:t>
            </w:r>
          </w:p>
        </w:tc>
        <w:tc>
          <w:tcPr>
            <w:tcW w:w="5633" w:type="dxa"/>
            <w:gridSpan w:val="5"/>
          </w:tcPr>
          <w:p w:rsidR="00B132E5" w:rsidRPr="00776F4B" w:rsidRDefault="00B132E5" w:rsidP="004B3C40">
            <w:pPr>
              <w:spacing w:after="0" w:line="240" w:lineRule="auto"/>
              <w:jc w:val="both"/>
              <w:rPr>
                <w:sz w:val="20"/>
                <w:szCs w:val="20"/>
                <w:lang w:val="mk-MK"/>
              </w:rPr>
            </w:pPr>
            <w:r w:rsidRPr="00776F4B">
              <w:rPr>
                <w:sz w:val="20"/>
                <w:szCs w:val="20"/>
                <w:lang w:val="mk-MK"/>
              </w:rPr>
              <w:t>Центар за граѓански комуникации;</w:t>
            </w:r>
          </w:p>
          <w:p w:rsidR="00B132E5" w:rsidRPr="00776F4B" w:rsidRDefault="00B132E5" w:rsidP="004B3C40">
            <w:pPr>
              <w:spacing w:after="0" w:line="240" w:lineRule="auto"/>
              <w:jc w:val="both"/>
              <w:rPr>
                <w:sz w:val="20"/>
                <w:szCs w:val="20"/>
                <w:lang w:val="mk-MK"/>
              </w:rPr>
            </w:pPr>
            <w:r w:rsidRPr="00776F4B">
              <w:rPr>
                <w:sz w:val="20"/>
                <w:szCs w:val="20"/>
                <w:lang w:val="mk-MK"/>
              </w:rPr>
              <w:t>Фондација отворено општество-Македонија и</w:t>
            </w:r>
          </w:p>
          <w:p w:rsidR="00B132E5" w:rsidRPr="00776F4B" w:rsidRDefault="00B132E5" w:rsidP="004B3C40">
            <w:pPr>
              <w:spacing w:after="0" w:line="240" w:lineRule="auto"/>
              <w:jc w:val="both"/>
              <w:rPr>
                <w:sz w:val="20"/>
                <w:szCs w:val="20"/>
                <w:lang w:val="mk-MK"/>
              </w:rPr>
            </w:pPr>
            <w:r w:rsidRPr="00776F4B">
              <w:rPr>
                <w:sz w:val="20"/>
                <w:szCs w:val="20"/>
                <w:lang w:val="mk-MK"/>
              </w:rPr>
              <w:t>Здружение за еманципација, солидарност и еднаквост на женитена РМ (ЕСЕ)</w:t>
            </w:r>
          </w:p>
        </w:tc>
      </w:tr>
      <w:tr w:rsidR="00B132E5" w:rsidRPr="00776F4B" w:rsidTr="00202F45">
        <w:tc>
          <w:tcPr>
            <w:tcW w:w="3943" w:type="dxa"/>
            <w:gridSpan w:val="2"/>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Главна цел</w:t>
            </w:r>
          </w:p>
        </w:tc>
        <w:tc>
          <w:tcPr>
            <w:tcW w:w="5633" w:type="dxa"/>
            <w:gridSpan w:val="5"/>
          </w:tcPr>
          <w:p w:rsidR="00B132E5" w:rsidRPr="00776F4B" w:rsidRDefault="00B132E5" w:rsidP="004B3C40">
            <w:pPr>
              <w:spacing w:after="0" w:line="240" w:lineRule="auto"/>
              <w:jc w:val="both"/>
              <w:rPr>
                <w:sz w:val="20"/>
                <w:szCs w:val="20"/>
                <w:lang w:val="mk-MK"/>
              </w:rPr>
            </w:pPr>
            <w:r w:rsidRPr="00776F4B">
              <w:rPr>
                <w:sz w:val="20"/>
                <w:szCs w:val="20"/>
                <w:lang w:val="mk-MK"/>
              </w:rPr>
              <w:t>Унапредување и олеснување на пристапот до информации</w:t>
            </w:r>
          </w:p>
        </w:tc>
      </w:tr>
      <w:tr w:rsidR="00B132E5" w:rsidRPr="00776F4B" w:rsidTr="00202F45">
        <w:tc>
          <w:tcPr>
            <w:tcW w:w="3943" w:type="dxa"/>
            <w:gridSpan w:val="2"/>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Краток опис на заложбата (макс 140 карактери)</w:t>
            </w:r>
          </w:p>
        </w:tc>
        <w:tc>
          <w:tcPr>
            <w:tcW w:w="5633" w:type="dxa"/>
            <w:gridSpan w:val="5"/>
          </w:tcPr>
          <w:p w:rsidR="00B132E5" w:rsidRPr="00776F4B" w:rsidRDefault="00B132E5" w:rsidP="004B3C40">
            <w:pPr>
              <w:spacing w:after="0" w:line="240" w:lineRule="auto"/>
              <w:jc w:val="both"/>
              <w:rPr>
                <w:sz w:val="20"/>
                <w:szCs w:val="20"/>
              </w:rPr>
            </w:pPr>
            <w:r w:rsidRPr="00776F4B">
              <w:rPr>
                <w:sz w:val="20"/>
                <w:szCs w:val="20"/>
                <w:lang w:val="mk-MK"/>
              </w:rPr>
              <w:t>Подобрување на пристапот до информациите од јавен карактер, информираност на граѓаните, како и подобрување на Законот за СПИЈК е клучен за имплементација на законот и уставното загарантирано право (член 16 од Уставот на Р.М.)</w:t>
            </w:r>
          </w:p>
          <w:p w:rsidR="00B132E5" w:rsidRPr="00776F4B" w:rsidRDefault="00B132E5" w:rsidP="004B3C40">
            <w:pPr>
              <w:spacing w:after="0" w:line="240" w:lineRule="auto"/>
              <w:jc w:val="both"/>
              <w:rPr>
                <w:color w:val="FF0000"/>
                <w:sz w:val="20"/>
                <w:szCs w:val="20"/>
                <w:lang w:val="mk-MK"/>
              </w:rPr>
            </w:pPr>
          </w:p>
        </w:tc>
      </w:tr>
      <w:tr w:rsidR="00B132E5" w:rsidRPr="00776F4B" w:rsidTr="00202F45">
        <w:tc>
          <w:tcPr>
            <w:tcW w:w="3943" w:type="dxa"/>
            <w:gridSpan w:val="2"/>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Релевантност</w:t>
            </w:r>
          </w:p>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Накратко опишете го начинот на кој оваа заложба е релевантна за понатамошно унапредување на вредностите на ОВП,</w:t>
            </w:r>
          </w:p>
          <w:p w:rsidR="00B132E5" w:rsidRPr="00776F4B" w:rsidRDefault="00B132E5" w:rsidP="004B3C40">
            <w:pPr>
              <w:pStyle w:val="ListParagraph"/>
              <w:spacing w:after="0" w:line="240" w:lineRule="auto"/>
              <w:ind w:left="0"/>
              <w:jc w:val="both"/>
              <w:rPr>
                <w:color w:val="878786"/>
                <w:spacing w:val="-6"/>
                <w:w w:val="124"/>
                <w:sz w:val="18"/>
                <w:szCs w:val="18"/>
                <w:lang w:val="mk-MK"/>
              </w:rPr>
            </w:pPr>
            <w:r w:rsidRPr="00776F4B">
              <w:rPr>
                <w:color w:val="878786"/>
                <w:spacing w:val="-6"/>
                <w:w w:val="124"/>
                <w:sz w:val="18"/>
                <w:szCs w:val="18"/>
                <w:lang w:val="mk-MK"/>
              </w:rPr>
              <w:t>на пристап до информации, јавна одговорност, граѓанско учество, и технологија и иновации за отвореност и одговорност. (Детален опис на овие вредности е достапна во Забелешка за насоки во врска со Извештајот за ОВП)</w:t>
            </w:r>
          </w:p>
        </w:tc>
        <w:tc>
          <w:tcPr>
            <w:tcW w:w="5633" w:type="dxa"/>
            <w:gridSpan w:val="5"/>
          </w:tcPr>
          <w:p w:rsidR="00B132E5" w:rsidRPr="00776F4B" w:rsidRDefault="00B132E5" w:rsidP="004B3C40">
            <w:pPr>
              <w:spacing w:after="0" w:line="240" w:lineRule="auto"/>
              <w:jc w:val="both"/>
              <w:rPr>
                <w:sz w:val="20"/>
                <w:szCs w:val="20"/>
                <w:lang w:val="mk-MK"/>
              </w:rPr>
            </w:pPr>
            <w:r w:rsidRPr="00776F4B">
              <w:rPr>
                <w:sz w:val="20"/>
                <w:szCs w:val="20"/>
                <w:lang w:val="mk-MK"/>
              </w:rPr>
              <w:t>Со имплементирање на заложбите од Приоритетот 3. Слобода на информации ќе се намали ограниченоста на пристапот до информации, како што се молкот на администрацијата како главна причина за ограничување на пристапот до информациите од јавен карактер, неинформираноста на граѓаните за нивното загарантирано право на пристап до информации од јавен карактер, имателите на информации од јавен карактер, како едни од главните чинители за спроведување на заложбите, ќе ја зголемат својата транспарентност во работењето, со тоа што информациите со кои располагаат ќе ги објавуваат на своите веб локации и огласни табли, со што документите кои ги поседуваат ќе бидат полесно достапни до граѓаните, односно барателите на информации од јавен карактер. Граѓанскиот сектор со своите активности ја подобрува имплементацијата на Законот за СПИЈК, одржувајќи обуки за граѓаните, невладиниот сектор и новинарите, а истовремено преку изготвените апликативни веб решенија на граѓаните им го олеснува поднесувањето на барања за слободен пристап до информациите од јавен карактер до имателите на информации.</w:t>
            </w:r>
          </w:p>
        </w:tc>
      </w:tr>
      <w:tr w:rsidR="00B132E5" w:rsidRPr="00776F4B" w:rsidTr="00202F45">
        <w:tc>
          <w:tcPr>
            <w:tcW w:w="3943" w:type="dxa"/>
            <w:gridSpan w:val="2"/>
            <w:tcBorders>
              <w:bottom w:val="single" w:sz="4" w:space="0" w:color="auto"/>
            </w:tcBorders>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Амбиција</w:t>
            </w:r>
          </w:p>
          <w:p w:rsidR="00B132E5" w:rsidRPr="00776F4B" w:rsidRDefault="00B132E5" w:rsidP="004B3C40">
            <w:pPr>
              <w:pStyle w:val="ListParagraph"/>
              <w:spacing w:after="0" w:line="240" w:lineRule="auto"/>
              <w:ind w:left="0"/>
              <w:jc w:val="both"/>
              <w:rPr>
                <w:color w:val="878786"/>
                <w:spacing w:val="-6"/>
                <w:w w:val="124"/>
                <w:sz w:val="18"/>
                <w:szCs w:val="18"/>
                <w:lang w:val="mk-MK"/>
              </w:rPr>
            </w:pPr>
            <w:r w:rsidRPr="00776F4B">
              <w:rPr>
                <w:color w:val="878786"/>
                <w:spacing w:val="-6"/>
                <w:w w:val="124"/>
                <w:sz w:val="18"/>
                <w:szCs w:val="18"/>
                <w:lang w:val="mk-MK"/>
              </w:rPr>
              <w:t>Накратко опишете ги планираните резултати за политика на посветеност и тоа како таа или ќе ја направи владата поотворена или ќе ја подобри Владата преку поголема отвореност.</w:t>
            </w:r>
          </w:p>
        </w:tc>
        <w:tc>
          <w:tcPr>
            <w:tcW w:w="5633" w:type="dxa"/>
            <w:gridSpan w:val="5"/>
            <w:tcBorders>
              <w:bottom w:val="single" w:sz="4" w:space="0" w:color="auto"/>
            </w:tcBorders>
          </w:tcPr>
          <w:p w:rsidR="00B132E5" w:rsidRPr="0094761A" w:rsidRDefault="00B132E5" w:rsidP="0094761A">
            <w:pPr>
              <w:spacing w:after="0" w:line="240" w:lineRule="auto"/>
              <w:jc w:val="both"/>
              <w:rPr>
                <w:color w:val="878786"/>
                <w:spacing w:val="-6"/>
                <w:w w:val="124"/>
                <w:sz w:val="18"/>
                <w:szCs w:val="18"/>
                <w:lang w:val="mk-MK"/>
              </w:rPr>
            </w:pPr>
            <w:r w:rsidRPr="0094761A">
              <w:rPr>
                <w:sz w:val="20"/>
                <w:szCs w:val="20"/>
                <w:lang w:val="mk-MK"/>
              </w:rPr>
              <w:t xml:space="preserve">Комисијата како носител на Приоритетот 3. Слобода на информации, но и како еден од  имплементаторите на Законот за СПИЈК, преку спроведување не само на заложбите и активностите од Акцискиот план за отворено владино партнерство, туку и преку целосно имплементирање на Законот, во иднина сака да ги спроведе во целост зацртаните цели за целосна отвореност и достапност на информациите од јавен карактер кои ги поседуваат сите иматели на </w:t>
            </w:r>
            <w:r w:rsidRPr="0094761A">
              <w:rPr>
                <w:sz w:val="20"/>
                <w:szCs w:val="20"/>
                <w:lang w:val="mk-MK"/>
              </w:rPr>
              <w:lastRenderedPageBreak/>
              <w:t>информации од јавен карактер, на начин достапен за јавноста (интернет страница, огласна табла и дгруго) – член 9 од ЗСПИЈК. Со ова имателите на информации од јавен карактер ќе бидат транспарентни во објавувањето на информациите од јавен карактер, отворени за соработка со барателите-граѓаните, со што ќе се избегне молчењето на администрацијата, како причина за ограничување на пристапот до информациите од јавен карактер.</w:t>
            </w:r>
          </w:p>
        </w:tc>
      </w:tr>
      <w:tr w:rsidR="00B132E5" w:rsidRPr="00776F4B" w:rsidTr="00202F45">
        <w:tc>
          <w:tcPr>
            <w:tcW w:w="9576" w:type="dxa"/>
            <w:gridSpan w:val="7"/>
            <w:shd w:val="clear" w:color="auto" w:fill="BFBFBF"/>
          </w:tcPr>
          <w:p w:rsidR="00B132E5" w:rsidRPr="00776F4B" w:rsidRDefault="00B132E5" w:rsidP="004B3C40">
            <w:pPr>
              <w:spacing w:after="0" w:line="240" w:lineRule="auto"/>
              <w:jc w:val="both"/>
              <w:rPr>
                <w:color w:val="878786"/>
                <w:spacing w:val="-6"/>
                <w:w w:val="124"/>
                <w:sz w:val="18"/>
                <w:szCs w:val="18"/>
                <w:lang w:val="mk-MK"/>
              </w:rPr>
            </w:pPr>
          </w:p>
        </w:tc>
      </w:tr>
      <w:tr w:rsidR="00B132E5" w:rsidRPr="00776F4B" w:rsidTr="00202F45">
        <w:trPr>
          <w:trHeight w:val="435"/>
        </w:trPr>
        <w:tc>
          <w:tcPr>
            <w:tcW w:w="3952" w:type="dxa"/>
            <w:gridSpan w:val="3"/>
            <w:vMerge w:val="restart"/>
          </w:tcPr>
          <w:p w:rsidR="00B132E5" w:rsidRPr="00776F4B" w:rsidRDefault="00B132E5" w:rsidP="004B3C40">
            <w:pPr>
              <w:spacing w:after="0" w:line="240" w:lineRule="auto"/>
              <w:jc w:val="both"/>
              <w:rPr>
                <w:color w:val="878786"/>
                <w:spacing w:val="-6"/>
                <w:w w:val="124"/>
                <w:sz w:val="18"/>
                <w:szCs w:val="18"/>
                <w:lang w:val="mk-MK"/>
              </w:rPr>
            </w:pPr>
          </w:p>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Ниво на проект</w:t>
            </w:r>
          </w:p>
          <w:p w:rsidR="00B132E5" w:rsidRPr="00776F4B" w:rsidRDefault="00B132E5" w:rsidP="004B3C40">
            <w:pPr>
              <w:spacing w:after="0" w:line="240" w:lineRule="auto"/>
              <w:jc w:val="both"/>
              <w:rPr>
                <w:color w:val="878786"/>
                <w:spacing w:val="-6"/>
                <w:w w:val="124"/>
                <w:sz w:val="18"/>
                <w:szCs w:val="18"/>
                <w:lang w:val="mk-MK"/>
              </w:rPr>
            </w:pPr>
          </w:p>
        </w:tc>
        <w:tc>
          <w:tcPr>
            <w:tcW w:w="1452"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незапочнато</w:t>
            </w:r>
          </w:p>
        </w:tc>
        <w:tc>
          <w:tcPr>
            <w:tcW w:w="1435"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ограничено</w:t>
            </w:r>
          </w:p>
        </w:tc>
        <w:tc>
          <w:tcPr>
            <w:tcW w:w="1365"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значително</w:t>
            </w:r>
          </w:p>
        </w:tc>
        <w:tc>
          <w:tcPr>
            <w:tcW w:w="1372"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завршено</w:t>
            </w:r>
          </w:p>
        </w:tc>
      </w:tr>
      <w:tr w:rsidR="00B132E5" w:rsidRPr="00776F4B" w:rsidTr="008F10C7">
        <w:trPr>
          <w:trHeight w:val="224"/>
        </w:trPr>
        <w:tc>
          <w:tcPr>
            <w:tcW w:w="3952" w:type="dxa"/>
            <w:gridSpan w:val="3"/>
            <w:vMerge/>
          </w:tcPr>
          <w:p w:rsidR="00B132E5" w:rsidRPr="00776F4B" w:rsidRDefault="00B132E5" w:rsidP="004B3C40">
            <w:pPr>
              <w:spacing w:after="0" w:line="240" w:lineRule="auto"/>
              <w:jc w:val="both"/>
              <w:rPr>
                <w:color w:val="878786"/>
                <w:spacing w:val="-6"/>
                <w:w w:val="124"/>
                <w:sz w:val="18"/>
                <w:szCs w:val="18"/>
                <w:lang w:val="mk-MK"/>
              </w:rPr>
            </w:pPr>
          </w:p>
        </w:tc>
        <w:tc>
          <w:tcPr>
            <w:tcW w:w="1452" w:type="dxa"/>
          </w:tcPr>
          <w:p w:rsidR="00B132E5" w:rsidRPr="00776F4B" w:rsidRDefault="00B132E5" w:rsidP="004B3C40">
            <w:pPr>
              <w:spacing w:after="0" w:line="240" w:lineRule="auto"/>
              <w:jc w:val="both"/>
              <w:rPr>
                <w:color w:val="878786"/>
                <w:spacing w:val="-6"/>
                <w:w w:val="124"/>
                <w:sz w:val="18"/>
                <w:szCs w:val="18"/>
                <w:lang w:val="mk-MK"/>
              </w:rPr>
            </w:pPr>
          </w:p>
        </w:tc>
        <w:tc>
          <w:tcPr>
            <w:tcW w:w="1435" w:type="dxa"/>
            <w:shd w:val="clear" w:color="auto" w:fill="548DD4"/>
          </w:tcPr>
          <w:p w:rsidR="00B132E5" w:rsidRPr="00776F4B" w:rsidRDefault="00B132E5" w:rsidP="004B3C40">
            <w:pPr>
              <w:spacing w:after="0" w:line="240" w:lineRule="auto"/>
              <w:jc w:val="both"/>
              <w:rPr>
                <w:color w:val="878786"/>
                <w:spacing w:val="-6"/>
                <w:w w:val="124"/>
                <w:sz w:val="18"/>
                <w:szCs w:val="18"/>
                <w:lang w:val="mk-MK"/>
              </w:rPr>
            </w:pPr>
          </w:p>
        </w:tc>
        <w:tc>
          <w:tcPr>
            <w:tcW w:w="1365" w:type="dxa"/>
          </w:tcPr>
          <w:p w:rsidR="00B132E5" w:rsidRPr="00776F4B" w:rsidRDefault="00B132E5" w:rsidP="004B3C40">
            <w:pPr>
              <w:spacing w:after="0" w:line="240" w:lineRule="auto"/>
              <w:jc w:val="both"/>
              <w:rPr>
                <w:color w:val="878786"/>
                <w:spacing w:val="-6"/>
                <w:w w:val="124"/>
                <w:sz w:val="18"/>
                <w:szCs w:val="18"/>
                <w:lang w:val="mk-MK"/>
              </w:rPr>
            </w:pPr>
          </w:p>
        </w:tc>
        <w:tc>
          <w:tcPr>
            <w:tcW w:w="1372" w:type="dxa"/>
          </w:tcPr>
          <w:p w:rsidR="00B132E5" w:rsidRPr="00776F4B" w:rsidRDefault="00B132E5" w:rsidP="004B3C40">
            <w:pPr>
              <w:spacing w:after="0" w:line="240" w:lineRule="auto"/>
              <w:jc w:val="both"/>
              <w:rPr>
                <w:color w:val="878786"/>
                <w:spacing w:val="-6"/>
                <w:w w:val="124"/>
                <w:sz w:val="18"/>
                <w:szCs w:val="18"/>
                <w:lang w:val="mk-MK"/>
              </w:rPr>
            </w:pPr>
          </w:p>
        </w:tc>
      </w:tr>
      <w:tr w:rsidR="00B132E5" w:rsidRPr="00776F4B" w:rsidTr="00202F45">
        <w:tc>
          <w:tcPr>
            <w:tcW w:w="3952" w:type="dxa"/>
            <w:gridSpan w:val="3"/>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Опис на резултатите</w:t>
            </w:r>
          </w:p>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Се вклучуваат специфични активности во рамките на периодот на известување (прва или втора година од Акциониот план) и, каде што е можно, Ве молиме наведете дали имало докази дека граѓаните ја применуваат заложбата или дека заложбата има ефект.</w:t>
            </w:r>
          </w:p>
        </w:tc>
        <w:tc>
          <w:tcPr>
            <w:tcW w:w="5624" w:type="dxa"/>
            <w:gridSpan w:val="4"/>
          </w:tcPr>
          <w:p w:rsidR="00B132E5" w:rsidRPr="00776F4B" w:rsidRDefault="00B132E5" w:rsidP="004B3C40">
            <w:pPr>
              <w:spacing w:after="0" w:line="240" w:lineRule="auto"/>
              <w:jc w:val="both"/>
              <w:rPr>
                <w:b/>
                <w:sz w:val="20"/>
                <w:szCs w:val="20"/>
                <w:lang w:val="mk-MK"/>
              </w:rPr>
            </w:pPr>
            <w:r w:rsidRPr="00776F4B">
              <w:rPr>
                <w:b/>
                <w:sz w:val="20"/>
                <w:szCs w:val="20"/>
                <w:lang w:val="mk-MK"/>
              </w:rPr>
              <w:t>Мерка 4: Редовно објавување и ажурирање на Листа на информации кај имателите</w:t>
            </w:r>
          </w:p>
          <w:p w:rsidR="00B132E5" w:rsidRPr="00202F45" w:rsidRDefault="00B132E5" w:rsidP="004B3C40">
            <w:pPr>
              <w:spacing w:after="0" w:line="240" w:lineRule="auto"/>
              <w:jc w:val="both"/>
              <w:rPr>
                <w:sz w:val="16"/>
                <w:szCs w:val="16"/>
              </w:rPr>
            </w:pPr>
          </w:p>
          <w:p w:rsidR="00B132E5" w:rsidRPr="00776F4B" w:rsidRDefault="00B132E5" w:rsidP="004B3C40">
            <w:pPr>
              <w:numPr>
                <w:ilvl w:val="0"/>
                <w:numId w:val="2"/>
              </w:numPr>
              <w:spacing w:after="0" w:line="240" w:lineRule="auto"/>
              <w:jc w:val="both"/>
              <w:rPr>
                <w:sz w:val="20"/>
                <w:szCs w:val="20"/>
              </w:rPr>
            </w:pPr>
            <w:r w:rsidRPr="00776F4B">
              <w:rPr>
                <w:sz w:val="20"/>
                <w:szCs w:val="20"/>
                <w:lang w:val="mk-MK"/>
              </w:rPr>
              <w:t>Сите иматели на информации треба своите информации од јавен карактер кои ги поседуваат и со кои располагаат треба да ги објават на своите веб локации</w:t>
            </w:r>
          </w:p>
          <w:p w:rsidR="00B132E5" w:rsidRPr="00202F45" w:rsidRDefault="00B132E5" w:rsidP="004B3C40">
            <w:pPr>
              <w:spacing w:after="0" w:line="240" w:lineRule="auto"/>
              <w:ind w:left="180"/>
              <w:rPr>
                <w:sz w:val="16"/>
                <w:szCs w:val="16"/>
                <w:lang w:val="mk-MK"/>
              </w:rPr>
            </w:pPr>
          </w:p>
        </w:tc>
      </w:tr>
      <w:tr w:rsidR="00B132E5" w:rsidRPr="00776F4B" w:rsidTr="00202F45">
        <w:tc>
          <w:tcPr>
            <w:tcW w:w="3952" w:type="dxa"/>
            <w:gridSpan w:val="3"/>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Краен датум</w:t>
            </w:r>
          </w:p>
        </w:tc>
        <w:tc>
          <w:tcPr>
            <w:tcW w:w="5624" w:type="dxa"/>
            <w:gridSpan w:val="4"/>
          </w:tcPr>
          <w:p w:rsidR="00B132E5" w:rsidRPr="00776F4B" w:rsidRDefault="00B132E5" w:rsidP="004B3C40">
            <w:pPr>
              <w:spacing w:after="0" w:line="240" w:lineRule="auto"/>
              <w:rPr>
                <w:sz w:val="20"/>
                <w:szCs w:val="20"/>
                <w:lang w:val="mk-MK"/>
              </w:rPr>
            </w:pPr>
            <w:r w:rsidRPr="00776F4B">
              <w:rPr>
                <w:sz w:val="20"/>
                <w:szCs w:val="20"/>
                <w:lang w:val="mk-MK"/>
              </w:rPr>
              <w:t xml:space="preserve"> Септември 2015 - Декември 2016 година</w:t>
            </w:r>
          </w:p>
        </w:tc>
      </w:tr>
      <w:tr w:rsidR="00B132E5" w:rsidRPr="00776F4B" w:rsidTr="008F10C7">
        <w:trPr>
          <w:trHeight w:val="3050"/>
        </w:trPr>
        <w:tc>
          <w:tcPr>
            <w:tcW w:w="3952" w:type="dxa"/>
            <w:gridSpan w:val="3"/>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Следни чекори</w:t>
            </w:r>
          </w:p>
        </w:tc>
        <w:tc>
          <w:tcPr>
            <w:tcW w:w="5624" w:type="dxa"/>
            <w:gridSpan w:val="4"/>
          </w:tcPr>
          <w:p w:rsidR="00B132E5" w:rsidRPr="00202F45" w:rsidRDefault="00B132E5" w:rsidP="00202F45">
            <w:pPr>
              <w:numPr>
                <w:ilvl w:val="0"/>
                <w:numId w:val="3"/>
              </w:numPr>
              <w:spacing w:after="0" w:line="240" w:lineRule="auto"/>
              <w:jc w:val="both"/>
              <w:rPr>
                <w:sz w:val="20"/>
                <w:szCs w:val="20"/>
                <w:lang w:val="mk-MK"/>
              </w:rPr>
            </w:pPr>
            <w:r w:rsidRPr="00776F4B">
              <w:rPr>
                <w:sz w:val="20"/>
                <w:szCs w:val="20"/>
                <w:lang w:val="mk-MK"/>
              </w:rPr>
              <w:t>Комисијата за ЗПСПИЈК преку обуките кои ги одржува за одговорните и службените лица за посредување со информациите од јавен карактер, континуирано им посочува на службените лица како да го применуваат Законот за СПИЈК, постојано укажува на кој начин треба да се објавува и ажурира Листата на информации  кај имателите (на нивните веб локации или огласните табли во институциите). Имателите на информации на своите веб локации да изготват банери или линкови во кои ќе бидат поставени сите информации од јавен карактер кои ги поседуваат и со кои располагаат.</w:t>
            </w:r>
          </w:p>
        </w:tc>
      </w:tr>
      <w:tr w:rsidR="00B132E5" w:rsidRPr="00776F4B" w:rsidTr="00202F45">
        <w:tc>
          <w:tcPr>
            <w:tcW w:w="9576" w:type="dxa"/>
            <w:gridSpan w:val="7"/>
          </w:tcPr>
          <w:p w:rsidR="00B132E5" w:rsidRPr="00776F4B" w:rsidRDefault="00B132E5" w:rsidP="004B3C40">
            <w:pPr>
              <w:spacing w:after="0" w:line="240" w:lineRule="auto"/>
              <w:jc w:val="both"/>
              <w:rPr>
                <w:b/>
                <w:lang w:val="mk-MK"/>
              </w:rPr>
            </w:pPr>
            <w:r w:rsidRPr="00776F4B">
              <w:rPr>
                <w:color w:val="878786"/>
                <w:spacing w:val="-6"/>
                <w:w w:val="124"/>
                <w:sz w:val="18"/>
                <w:szCs w:val="18"/>
                <w:lang w:val="mk-MK"/>
              </w:rPr>
              <w:t>Дополнителни информации (Опис на она што останува да се постигне и било какви ризици или предизвици при спроведување на обврската.)/</w:t>
            </w:r>
          </w:p>
        </w:tc>
      </w:tr>
      <w:tr w:rsidR="00B132E5" w:rsidRPr="00776F4B" w:rsidTr="00202F45">
        <w:trPr>
          <w:trHeight w:val="435"/>
        </w:trPr>
        <w:tc>
          <w:tcPr>
            <w:tcW w:w="3952" w:type="dxa"/>
            <w:gridSpan w:val="3"/>
            <w:vMerge w:val="restart"/>
          </w:tcPr>
          <w:p w:rsidR="00B132E5" w:rsidRPr="00776F4B" w:rsidRDefault="00B132E5" w:rsidP="004B3C40">
            <w:pPr>
              <w:spacing w:after="0" w:line="240" w:lineRule="auto"/>
              <w:jc w:val="both"/>
              <w:rPr>
                <w:color w:val="878786"/>
                <w:spacing w:val="-6"/>
                <w:w w:val="124"/>
                <w:sz w:val="18"/>
                <w:szCs w:val="18"/>
                <w:lang w:val="mk-MK"/>
              </w:rPr>
            </w:pPr>
          </w:p>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Ниво на проект</w:t>
            </w:r>
          </w:p>
          <w:p w:rsidR="00B132E5" w:rsidRPr="00776F4B" w:rsidRDefault="00B132E5" w:rsidP="004B3C40">
            <w:pPr>
              <w:spacing w:after="0" w:line="240" w:lineRule="auto"/>
              <w:jc w:val="both"/>
              <w:rPr>
                <w:color w:val="878786"/>
                <w:spacing w:val="-6"/>
                <w:w w:val="124"/>
                <w:sz w:val="18"/>
                <w:szCs w:val="18"/>
                <w:lang w:val="mk-MK"/>
              </w:rPr>
            </w:pPr>
          </w:p>
        </w:tc>
        <w:tc>
          <w:tcPr>
            <w:tcW w:w="1452"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незапочнато</w:t>
            </w:r>
          </w:p>
        </w:tc>
        <w:tc>
          <w:tcPr>
            <w:tcW w:w="1435"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ограничено</w:t>
            </w:r>
          </w:p>
        </w:tc>
        <w:tc>
          <w:tcPr>
            <w:tcW w:w="1365"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значително</w:t>
            </w:r>
          </w:p>
        </w:tc>
        <w:tc>
          <w:tcPr>
            <w:tcW w:w="1372"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завршено</w:t>
            </w:r>
          </w:p>
        </w:tc>
      </w:tr>
      <w:tr w:rsidR="00B132E5" w:rsidRPr="00776F4B" w:rsidTr="00202F45">
        <w:trPr>
          <w:trHeight w:val="367"/>
        </w:trPr>
        <w:tc>
          <w:tcPr>
            <w:tcW w:w="3952" w:type="dxa"/>
            <w:gridSpan w:val="3"/>
            <w:vMerge/>
          </w:tcPr>
          <w:p w:rsidR="00B132E5" w:rsidRPr="00776F4B" w:rsidRDefault="00B132E5" w:rsidP="004B3C40">
            <w:pPr>
              <w:spacing w:after="0" w:line="240" w:lineRule="auto"/>
              <w:jc w:val="both"/>
              <w:rPr>
                <w:color w:val="878786"/>
                <w:spacing w:val="-6"/>
                <w:w w:val="124"/>
                <w:sz w:val="18"/>
                <w:szCs w:val="18"/>
                <w:lang w:val="mk-MK"/>
              </w:rPr>
            </w:pPr>
          </w:p>
        </w:tc>
        <w:tc>
          <w:tcPr>
            <w:tcW w:w="1452" w:type="dxa"/>
          </w:tcPr>
          <w:p w:rsidR="00B132E5" w:rsidRPr="00776F4B" w:rsidRDefault="00B132E5" w:rsidP="004B3C40">
            <w:pPr>
              <w:spacing w:after="0" w:line="240" w:lineRule="auto"/>
              <w:jc w:val="both"/>
              <w:rPr>
                <w:color w:val="878786"/>
                <w:spacing w:val="-6"/>
                <w:w w:val="124"/>
                <w:sz w:val="18"/>
                <w:szCs w:val="18"/>
                <w:lang w:val="mk-MK"/>
              </w:rPr>
            </w:pPr>
          </w:p>
        </w:tc>
        <w:tc>
          <w:tcPr>
            <w:tcW w:w="1435" w:type="dxa"/>
          </w:tcPr>
          <w:p w:rsidR="00B132E5" w:rsidRPr="00776F4B" w:rsidRDefault="00B132E5" w:rsidP="004B3C40">
            <w:pPr>
              <w:spacing w:after="0" w:line="240" w:lineRule="auto"/>
              <w:jc w:val="both"/>
              <w:rPr>
                <w:color w:val="878786"/>
                <w:spacing w:val="-6"/>
                <w:w w:val="124"/>
                <w:sz w:val="18"/>
                <w:szCs w:val="18"/>
                <w:lang w:val="mk-MK"/>
              </w:rPr>
            </w:pPr>
          </w:p>
        </w:tc>
        <w:tc>
          <w:tcPr>
            <w:tcW w:w="1365" w:type="dxa"/>
            <w:shd w:val="clear" w:color="auto" w:fill="548DD4"/>
          </w:tcPr>
          <w:p w:rsidR="00B132E5" w:rsidRPr="00776F4B" w:rsidRDefault="00B132E5" w:rsidP="004B3C40">
            <w:pPr>
              <w:spacing w:after="0" w:line="240" w:lineRule="auto"/>
              <w:jc w:val="both"/>
              <w:rPr>
                <w:color w:val="878786"/>
                <w:spacing w:val="-6"/>
                <w:w w:val="124"/>
                <w:sz w:val="18"/>
                <w:szCs w:val="18"/>
                <w:lang w:val="mk-MK"/>
              </w:rPr>
            </w:pPr>
          </w:p>
        </w:tc>
        <w:tc>
          <w:tcPr>
            <w:tcW w:w="1372" w:type="dxa"/>
          </w:tcPr>
          <w:p w:rsidR="00B132E5" w:rsidRPr="00776F4B" w:rsidRDefault="00B132E5" w:rsidP="004B3C40">
            <w:pPr>
              <w:spacing w:after="0" w:line="240" w:lineRule="auto"/>
              <w:jc w:val="both"/>
              <w:rPr>
                <w:color w:val="878786"/>
                <w:spacing w:val="-6"/>
                <w:w w:val="124"/>
                <w:sz w:val="18"/>
                <w:szCs w:val="18"/>
                <w:lang w:val="mk-MK"/>
              </w:rPr>
            </w:pPr>
          </w:p>
        </w:tc>
      </w:tr>
      <w:tr w:rsidR="00B132E5" w:rsidRPr="00776F4B" w:rsidTr="00B269A1">
        <w:trPr>
          <w:trHeight w:val="1790"/>
        </w:trPr>
        <w:tc>
          <w:tcPr>
            <w:tcW w:w="3952" w:type="dxa"/>
            <w:gridSpan w:val="3"/>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Опис на резултатите</w:t>
            </w:r>
          </w:p>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Се вклучуваат специфични активности во рамките на периодот на известување (прва или втора година од Акциониот план) и, каде што е можно, Ве молиме наведете дали имало докази дека граѓаните ја применуваат заложбата или дека заложбата има ефект.</w:t>
            </w:r>
          </w:p>
        </w:tc>
        <w:tc>
          <w:tcPr>
            <w:tcW w:w="5624" w:type="dxa"/>
            <w:gridSpan w:val="4"/>
          </w:tcPr>
          <w:p w:rsidR="00AA6D9C" w:rsidRDefault="00AA6D9C" w:rsidP="004B3C40">
            <w:pPr>
              <w:spacing w:after="0" w:line="240" w:lineRule="auto"/>
              <w:jc w:val="both"/>
              <w:rPr>
                <w:b/>
                <w:sz w:val="20"/>
                <w:szCs w:val="20"/>
                <w:lang w:val="mk-MK"/>
              </w:rPr>
            </w:pPr>
            <w:r w:rsidRPr="00AA6D9C">
              <w:rPr>
                <w:b/>
                <w:sz w:val="20"/>
                <w:szCs w:val="20"/>
                <w:lang w:val="mk-MK"/>
              </w:rPr>
              <w:t>Мерка 9. Изменување и дополнувања на Законот за слободен пристап до информации до јавен карактер</w:t>
            </w:r>
            <w:r>
              <w:rPr>
                <w:b/>
                <w:sz w:val="20"/>
                <w:szCs w:val="20"/>
                <w:lang w:val="mk-MK"/>
              </w:rPr>
              <w:t xml:space="preserve"> и</w:t>
            </w:r>
          </w:p>
          <w:p w:rsidR="00202F45" w:rsidRPr="001F06B7" w:rsidRDefault="00202F45" w:rsidP="004B3C40">
            <w:pPr>
              <w:spacing w:after="0" w:line="240" w:lineRule="auto"/>
              <w:jc w:val="both"/>
              <w:rPr>
                <w:b/>
                <w:sz w:val="20"/>
                <w:szCs w:val="20"/>
              </w:rPr>
            </w:pPr>
            <w:r w:rsidRPr="00202F45">
              <w:rPr>
                <w:b/>
                <w:sz w:val="20"/>
                <w:szCs w:val="20"/>
                <w:lang w:val="mk-MK"/>
              </w:rPr>
              <w:t>Мерка 10. Формирање меѓуресорска работна група за утврдување на усогласеноста на Конвенција на Советот на Европа за пристап до јавните документи и утврдување на националните законски услови за пристапување кон оваа конвенција</w:t>
            </w:r>
          </w:p>
          <w:p w:rsidR="00AA6D9C" w:rsidRPr="00AA6D9C" w:rsidRDefault="00AA6D9C" w:rsidP="00AA6D9C">
            <w:pPr>
              <w:pStyle w:val="ListParagraph"/>
              <w:numPr>
                <w:ilvl w:val="0"/>
                <w:numId w:val="3"/>
              </w:numPr>
              <w:jc w:val="both"/>
              <w:rPr>
                <w:sz w:val="20"/>
                <w:szCs w:val="20"/>
                <w:lang w:val="mk-MK"/>
              </w:rPr>
            </w:pPr>
            <w:r w:rsidRPr="00AA6D9C">
              <w:rPr>
                <w:sz w:val="20"/>
                <w:szCs w:val="20"/>
                <w:lang w:val="mk-MK"/>
              </w:rPr>
              <w:t>Меѓуресорската работна група е формирана за да утврди усогласеност на Конвенцијата на СЕ за пристап до јавните документи и утврдување на националните закон</w:t>
            </w:r>
            <w:r>
              <w:rPr>
                <w:sz w:val="20"/>
                <w:szCs w:val="20"/>
                <w:lang w:val="mk-MK"/>
              </w:rPr>
              <w:t>с</w:t>
            </w:r>
            <w:r w:rsidRPr="00AA6D9C">
              <w:rPr>
                <w:sz w:val="20"/>
                <w:szCs w:val="20"/>
                <w:lang w:val="mk-MK"/>
              </w:rPr>
              <w:t xml:space="preserve">ки услови за пристапување на оваа Конвенција и изготвување на анализа за евентуална измена на Законот за СПИЈК  </w:t>
            </w:r>
          </w:p>
          <w:p w:rsidR="001F06B7" w:rsidRDefault="00B132E5" w:rsidP="001F06B7">
            <w:pPr>
              <w:jc w:val="both"/>
              <w:rPr>
                <w:sz w:val="20"/>
                <w:szCs w:val="20"/>
              </w:rPr>
            </w:pPr>
            <w:r w:rsidRPr="001F06B7">
              <w:rPr>
                <w:b/>
                <w:sz w:val="20"/>
                <w:szCs w:val="20"/>
                <w:lang w:val="mk-MK"/>
              </w:rPr>
              <w:lastRenderedPageBreak/>
              <w:t>Мерка 5: Достапност на сите информации од јавен карактер на веб локациите на имателите</w:t>
            </w:r>
          </w:p>
          <w:p w:rsidR="00B132E5" w:rsidRPr="001F06B7" w:rsidRDefault="00B132E5" w:rsidP="001F06B7">
            <w:pPr>
              <w:pStyle w:val="ListParagraph"/>
              <w:numPr>
                <w:ilvl w:val="0"/>
                <w:numId w:val="3"/>
              </w:numPr>
              <w:jc w:val="both"/>
              <w:rPr>
                <w:sz w:val="20"/>
                <w:szCs w:val="20"/>
                <w:lang w:val="mk-MK"/>
              </w:rPr>
            </w:pPr>
            <w:r w:rsidRPr="001F06B7">
              <w:rPr>
                <w:sz w:val="20"/>
                <w:szCs w:val="20"/>
                <w:lang w:val="mk-MK"/>
              </w:rPr>
              <w:t>Мониторингот на интернет страниците на осумнаесет јавни институции и оценувањето на достапноста на шеснаесет клучни документи и информации што се однесуваат на работењето на опфатените институции (стратегија за работа; годишна програма за работа; буџетски календар; предбуџетска изјава; граѓански буџет; предлог буџет  и усвоен буџет; предлог и усвоени измени и дополнувања на буџетот; буџетски документи во отворен формат (xml или excel); месечни извештаи за извршување на буџетот; полугодишен извештај за извршување на буџетот; завршна сметка на буџетот; ревизорски извештај; податоци за лицето назначено за посредување со информации од јавен карактер и листа на информации од јавен карактер) кој го спроведе Здружението ЕСЕ покажа дека најголем дел имателите на информации од јавен карактер немаат објавено ниту еден од мониторираните буџетски документи или пак имаат објавено само некои. Ова укажува на тоа дека самото тоа што во  Законот за СПИЈК предвидува листа на информации од јавен карактер не е доволно за остварување на повисоко ниво на проактивност (проактивна транспарентост) кај јавните институции. Затоа потребно е групата да изнајде начин како имателите на информации да ги постават сите информации за своето работење на своите интернет страници. Комисијата укажува дека информациите што треба да ги содржи Листата на информации од јавен карактер е утврдена со член 10 од Законот за СПИЈК и не може да се утврди минимум на информации кои истата ќе ги содржи.</w:t>
            </w:r>
          </w:p>
          <w:p w:rsidR="00B132E5" w:rsidRPr="00776F4B" w:rsidRDefault="00B132E5" w:rsidP="004B3C40">
            <w:pPr>
              <w:spacing w:after="0" w:line="240" w:lineRule="auto"/>
              <w:jc w:val="both"/>
              <w:rPr>
                <w:b/>
                <w:sz w:val="20"/>
                <w:szCs w:val="20"/>
                <w:lang w:val="mk-MK"/>
              </w:rPr>
            </w:pPr>
            <w:r w:rsidRPr="00776F4B">
              <w:rPr>
                <w:b/>
                <w:sz w:val="20"/>
                <w:szCs w:val="20"/>
                <w:lang w:val="mk-MK"/>
              </w:rPr>
              <w:t>Мерка 7: Зголемување на соработката на Комисијата со Здруженијата на граѓани и фондации и со Општините во Р.М. преку меморандуми за соработка</w:t>
            </w:r>
          </w:p>
          <w:p w:rsidR="00B132E5" w:rsidRPr="001F06B7" w:rsidRDefault="00B132E5" w:rsidP="001F06B7">
            <w:pPr>
              <w:pStyle w:val="ListParagraph"/>
              <w:numPr>
                <w:ilvl w:val="0"/>
                <w:numId w:val="3"/>
              </w:numPr>
              <w:spacing w:after="0" w:line="240" w:lineRule="auto"/>
              <w:jc w:val="both"/>
              <w:rPr>
                <w:sz w:val="20"/>
                <w:szCs w:val="20"/>
                <w:lang w:val="mk-MK"/>
              </w:rPr>
            </w:pPr>
            <w:r w:rsidRPr="001F06B7">
              <w:rPr>
                <w:sz w:val="20"/>
                <w:szCs w:val="20"/>
                <w:lang w:val="mk-MK"/>
              </w:rPr>
              <w:t>Ќе бидат потпишани Меморандуми за соработка со Фондацијата отворено општество-Македонија, со Центарот за граѓански комуникации и со Здружението ЕСЕ, согласно Акцискиот план за ОВП.</w:t>
            </w:r>
          </w:p>
          <w:p w:rsidR="00B132E5" w:rsidRPr="00202F45" w:rsidRDefault="00B132E5" w:rsidP="004B3C40">
            <w:pPr>
              <w:spacing w:after="0" w:line="240" w:lineRule="auto"/>
              <w:rPr>
                <w:sz w:val="16"/>
                <w:szCs w:val="16"/>
                <w:lang w:val="mk-MK"/>
              </w:rPr>
            </w:pPr>
          </w:p>
        </w:tc>
      </w:tr>
      <w:tr w:rsidR="00B132E5" w:rsidRPr="00776F4B" w:rsidTr="00202F45">
        <w:tc>
          <w:tcPr>
            <w:tcW w:w="3952" w:type="dxa"/>
            <w:gridSpan w:val="3"/>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lastRenderedPageBreak/>
              <w:t>Краен датум</w:t>
            </w:r>
          </w:p>
        </w:tc>
        <w:tc>
          <w:tcPr>
            <w:tcW w:w="5624" w:type="dxa"/>
            <w:gridSpan w:val="4"/>
          </w:tcPr>
          <w:p w:rsidR="00B132E5" w:rsidRPr="00202F45" w:rsidRDefault="00B132E5" w:rsidP="004B3C40">
            <w:pPr>
              <w:spacing w:after="0" w:line="240" w:lineRule="auto"/>
              <w:rPr>
                <w:sz w:val="16"/>
                <w:szCs w:val="16"/>
                <w:lang w:val="mk-MK"/>
              </w:rPr>
            </w:pPr>
            <w:r w:rsidRPr="00776F4B">
              <w:rPr>
                <w:sz w:val="20"/>
                <w:szCs w:val="20"/>
                <w:lang w:val="mk-MK"/>
              </w:rPr>
              <w:t>Декември 2016</w:t>
            </w:r>
          </w:p>
        </w:tc>
      </w:tr>
      <w:tr w:rsidR="00B132E5" w:rsidRPr="00776F4B" w:rsidTr="00AA6D9C">
        <w:trPr>
          <w:trHeight w:val="2870"/>
        </w:trPr>
        <w:tc>
          <w:tcPr>
            <w:tcW w:w="3952" w:type="dxa"/>
            <w:gridSpan w:val="3"/>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lastRenderedPageBreak/>
              <w:t>Следни чекори</w:t>
            </w:r>
          </w:p>
        </w:tc>
        <w:tc>
          <w:tcPr>
            <w:tcW w:w="5624" w:type="dxa"/>
            <w:gridSpan w:val="4"/>
          </w:tcPr>
          <w:p w:rsidR="00AA6D9C" w:rsidRDefault="00AA6D9C" w:rsidP="00202F45">
            <w:pPr>
              <w:numPr>
                <w:ilvl w:val="0"/>
                <w:numId w:val="3"/>
              </w:numPr>
              <w:spacing w:after="0" w:line="240" w:lineRule="auto"/>
              <w:jc w:val="both"/>
              <w:rPr>
                <w:sz w:val="20"/>
                <w:szCs w:val="20"/>
                <w:lang w:val="mk-MK"/>
              </w:rPr>
            </w:pPr>
            <w:r>
              <w:rPr>
                <w:sz w:val="20"/>
                <w:szCs w:val="20"/>
                <w:lang w:val="mk-MK"/>
              </w:rPr>
              <w:t>Подготовка на Предлог-Закон за изменување и дополнување на Законот за СПИЈК</w:t>
            </w:r>
          </w:p>
          <w:p w:rsidR="00B132E5" w:rsidRPr="00776F4B" w:rsidRDefault="00B132E5" w:rsidP="00202F45">
            <w:pPr>
              <w:numPr>
                <w:ilvl w:val="0"/>
                <w:numId w:val="3"/>
              </w:numPr>
              <w:spacing w:after="0" w:line="240" w:lineRule="auto"/>
              <w:jc w:val="both"/>
              <w:rPr>
                <w:sz w:val="20"/>
                <w:szCs w:val="20"/>
                <w:lang w:val="mk-MK"/>
              </w:rPr>
            </w:pPr>
            <w:r w:rsidRPr="00776F4B">
              <w:rPr>
                <w:sz w:val="20"/>
                <w:szCs w:val="20"/>
                <w:lang w:val="mk-MK"/>
              </w:rPr>
              <w:t>Објавувањето на информациите од јавен карактер на веб локациите на имателите е мерка на која во континуитет ќе се работи.</w:t>
            </w:r>
          </w:p>
          <w:p w:rsidR="00B132E5" w:rsidRPr="00776F4B" w:rsidRDefault="00B132E5" w:rsidP="00202F45">
            <w:pPr>
              <w:numPr>
                <w:ilvl w:val="0"/>
                <w:numId w:val="3"/>
              </w:numPr>
              <w:spacing w:after="0" w:line="240" w:lineRule="auto"/>
              <w:jc w:val="both"/>
              <w:rPr>
                <w:sz w:val="20"/>
                <w:szCs w:val="20"/>
                <w:lang w:val="mk-MK"/>
              </w:rPr>
            </w:pPr>
            <w:r w:rsidRPr="00776F4B">
              <w:rPr>
                <w:sz w:val="20"/>
                <w:szCs w:val="20"/>
                <w:lang w:val="mk-MK"/>
              </w:rPr>
              <w:t>Комисијата во наредниот период ќе потпише Меморандуми за соработка со Фондацијата отворено општество-Македонија, со Центарот за граѓански комуникации и со Здружението ЕСЕ, согласно Акцискиот план за ОВП, се со цел за продлабочување на заедничката соработка.</w:t>
            </w:r>
          </w:p>
          <w:p w:rsidR="00B132E5" w:rsidRPr="00202F45" w:rsidRDefault="00B132E5" w:rsidP="004B3C40">
            <w:pPr>
              <w:spacing w:after="0" w:line="240" w:lineRule="auto"/>
              <w:ind w:left="720"/>
              <w:jc w:val="both"/>
              <w:rPr>
                <w:sz w:val="16"/>
                <w:szCs w:val="16"/>
                <w:lang w:val="mk-MK"/>
              </w:rPr>
            </w:pPr>
          </w:p>
        </w:tc>
      </w:tr>
      <w:tr w:rsidR="00B132E5" w:rsidRPr="00776F4B" w:rsidTr="00202F45">
        <w:tc>
          <w:tcPr>
            <w:tcW w:w="9576" w:type="dxa"/>
            <w:gridSpan w:val="7"/>
          </w:tcPr>
          <w:p w:rsidR="00B132E5" w:rsidRPr="00776F4B" w:rsidRDefault="00B132E5" w:rsidP="004B3C40">
            <w:pPr>
              <w:spacing w:after="0" w:line="240" w:lineRule="auto"/>
              <w:jc w:val="both"/>
              <w:rPr>
                <w:b/>
                <w:lang w:val="mk-MK"/>
              </w:rPr>
            </w:pPr>
            <w:r w:rsidRPr="00776F4B">
              <w:rPr>
                <w:color w:val="878786"/>
                <w:spacing w:val="-6"/>
                <w:w w:val="124"/>
                <w:sz w:val="18"/>
                <w:szCs w:val="18"/>
                <w:lang w:val="mk-MK"/>
              </w:rPr>
              <w:t>Дополнителни информации (Опис на она што останува да се постигне и било какви ризици или предизвици при спроведување на обврската.)</w:t>
            </w:r>
          </w:p>
        </w:tc>
      </w:tr>
      <w:tr w:rsidR="00B132E5" w:rsidRPr="00776F4B" w:rsidTr="00202F45">
        <w:trPr>
          <w:trHeight w:val="435"/>
        </w:trPr>
        <w:tc>
          <w:tcPr>
            <w:tcW w:w="3952" w:type="dxa"/>
            <w:gridSpan w:val="3"/>
            <w:vMerge w:val="restart"/>
          </w:tcPr>
          <w:p w:rsidR="00B132E5" w:rsidRPr="00776F4B" w:rsidRDefault="00B132E5" w:rsidP="004B3C40">
            <w:pPr>
              <w:spacing w:after="0" w:line="240" w:lineRule="auto"/>
              <w:jc w:val="both"/>
              <w:rPr>
                <w:color w:val="878786"/>
                <w:spacing w:val="-6"/>
                <w:w w:val="124"/>
                <w:sz w:val="18"/>
                <w:szCs w:val="18"/>
                <w:lang w:val="mk-MK"/>
              </w:rPr>
            </w:pPr>
          </w:p>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Ниво на проект</w:t>
            </w:r>
          </w:p>
          <w:p w:rsidR="00B132E5" w:rsidRPr="00776F4B" w:rsidRDefault="00B132E5" w:rsidP="004B3C40">
            <w:pPr>
              <w:spacing w:after="0" w:line="240" w:lineRule="auto"/>
              <w:jc w:val="both"/>
              <w:rPr>
                <w:color w:val="878786"/>
                <w:spacing w:val="-6"/>
                <w:w w:val="124"/>
                <w:sz w:val="18"/>
                <w:szCs w:val="18"/>
                <w:lang w:val="mk-MK"/>
              </w:rPr>
            </w:pPr>
          </w:p>
        </w:tc>
        <w:tc>
          <w:tcPr>
            <w:tcW w:w="1452"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незапочнато</w:t>
            </w:r>
          </w:p>
        </w:tc>
        <w:tc>
          <w:tcPr>
            <w:tcW w:w="1435"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ограничено</w:t>
            </w:r>
          </w:p>
        </w:tc>
        <w:tc>
          <w:tcPr>
            <w:tcW w:w="1365"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значително</w:t>
            </w:r>
          </w:p>
        </w:tc>
        <w:tc>
          <w:tcPr>
            <w:tcW w:w="1372" w:type="dxa"/>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завршено</w:t>
            </w:r>
          </w:p>
        </w:tc>
      </w:tr>
      <w:tr w:rsidR="00B132E5" w:rsidRPr="00776F4B" w:rsidTr="00202F45">
        <w:trPr>
          <w:trHeight w:val="367"/>
        </w:trPr>
        <w:tc>
          <w:tcPr>
            <w:tcW w:w="3952" w:type="dxa"/>
            <w:gridSpan w:val="3"/>
            <w:vMerge/>
          </w:tcPr>
          <w:p w:rsidR="00B132E5" w:rsidRPr="00776F4B" w:rsidRDefault="00B132E5" w:rsidP="004B3C40">
            <w:pPr>
              <w:spacing w:after="0" w:line="240" w:lineRule="auto"/>
              <w:jc w:val="both"/>
              <w:rPr>
                <w:color w:val="878786"/>
                <w:spacing w:val="-6"/>
                <w:w w:val="124"/>
                <w:sz w:val="18"/>
                <w:szCs w:val="18"/>
                <w:lang w:val="mk-MK"/>
              </w:rPr>
            </w:pPr>
          </w:p>
        </w:tc>
        <w:tc>
          <w:tcPr>
            <w:tcW w:w="1452" w:type="dxa"/>
          </w:tcPr>
          <w:p w:rsidR="00B132E5" w:rsidRPr="00776F4B" w:rsidRDefault="00B132E5" w:rsidP="004B3C40">
            <w:pPr>
              <w:spacing w:after="0" w:line="240" w:lineRule="auto"/>
              <w:jc w:val="both"/>
              <w:rPr>
                <w:color w:val="878786"/>
                <w:spacing w:val="-6"/>
                <w:w w:val="124"/>
                <w:sz w:val="18"/>
                <w:szCs w:val="18"/>
                <w:lang w:val="mk-MK"/>
              </w:rPr>
            </w:pPr>
          </w:p>
        </w:tc>
        <w:tc>
          <w:tcPr>
            <w:tcW w:w="1435" w:type="dxa"/>
          </w:tcPr>
          <w:p w:rsidR="00B132E5" w:rsidRPr="00776F4B" w:rsidRDefault="00B132E5" w:rsidP="004B3C40">
            <w:pPr>
              <w:spacing w:after="0" w:line="240" w:lineRule="auto"/>
              <w:jc w:val="both"/>
              <w:rPr>
                <w:color w:val="878786"/>
                <w:spacing w:val="-6"/>
                <w:w w:val="124"/>
                <w:sz w:val="18"/>
                <w:szCs w:val="18"/>
                <w:lang w:val="mk-MK"/>
              </w:rPr>
            </w:pPr>
          </w:p>
        </w:tc>
        <w:tc>
          <w:tcPr>
            <w:tcW w:w="1365" w:type="dxa"/>
          </w:tcPr>
          <w:p w:rsidR="00B132E5" w:rsidRPr="00776F4B" w:rsidRDefault="00B132E5" w:rsidP="004B3C40">
            <w:pPr>
              <w:spacing w:after="0" w:line="240" w:lineRule="auto"/>
              <w:jc w:val="both"/>
              <w:rPr>
                <w:color w:val="878786"/>
                <w:spacing w:val="-6"/>
                <w:w w:val="124"/>
                <w:sz w:val="18"/>
                <w:szCs w:val="18"/>
                <w:lang w:val="mk-MK"/>
              </w:rPr>
            </w:pPr>
          </w:p>
        </w:tc>
        <w:tc>
          <w:tcPr>
            <w:tcW w:w="1372" w:type="dxa"/>
            <w:shd w:val="clear" w:color="auto" w:fill="548DD4"/>
          </w:tcPr>
          <w:p w:rsidR="00B132E5" w:rsidRPr="00776F4B" w:rsidRDefault="00B132E5" w:rsidP="004B3C40">
            <w:pPr>
              <w:spacing w:after="0" w:line="240" w:lineRule="auto"/>
              <w:jc w:val="both"/>
              <w:rPr>
                <w:color w:val="878786"/>
                <w:spacing w:val="-6"/>
                <w:w w:val="124"/>
                <w:sz w:val="18"/>
                <w:szCs w:val="18"/>
                <w:lang w:val="mk-MK"/>
              </w:rPr>
            </w:pPr>
          </w:p>
        </w:tc>
      </w:tr>
      <w:tr w:rsidR="00B132E5" w:rsidRPr="00776F4B" w:rsidTr="00202F45">
        <w:tc>
          <w:tcPr>
            <w:tcW w:w="3952" w:type="dxa"/>
            <w:gridSpan w:val="3"/>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Опис на резултатите</w:t>
            </w:r>
          </w:p>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Се вклучуваат специфични активности во рамките на периодот на известување (прва или втора година од Акциониот план) и, каде што е можно, Ве молиме наведете дали имало докази дека граѓаните ја применуваат заложбата или дека заложбата има ефект.</w:t>
            </w:r>
          </w:p>
        </w:tc>
        <w:tc>
          <w:tcPr>
            <w:tcW w:w="5624" w:type="dxa"/>
            <w:gridSpan w:val="4"/>
          </w:tcPr>
          <w:p w:rsidR="00B132E5" w:rsidRDefault="00B132E5" w:rsidP="004B3C40">
            <w:pPr>
              <w:spacing w:after="0" w:line="240" w:lineRule="auto"/>
              <w:jc w:val="both"/>
              <w:rPr>
                <w:b/>
                <w:sz w:val="20"/>
                <w:szCs w:val="20"/>
                <w:lang w:val="mk-MK"/>
              </w:rPr>
            </w:pPr>
            <w:r w:rsidRPr="00776F4B">
              <w:rPr>
                <w:b/>
                <w:sz w:val="20"/>
                <w:szCs w:val="20"/>
                <w:lang w:val="mk-MK"/>
              </w:rPr>
              <w:t xml:space="preserve"> Мерка 1: Подигање на свеста кај јавноста за правото на слободен пристап до информации од јавен карактер преку креирана и спроведена медиумска презентација и едукативна кампања</w:t>
            </w:r>
            <w:r w:rsidR="001F06B7">
              <w:rPr>
                <w:b/>
                <w:sz w:val="20"/>
                <w:szCs w:val="20"/>
                <w:lang w:val="mk-MK"/>
              </w:rPr>
              <w:t xml:space="preserve"> и Мерка 2: Едукација на службените и одговорните лица </w:t>
            </w:r>
            <w:r w:rsidR="003E7CF5">
              <w:rPr>
                <w:b/>
                <w:sz w:val="20"/>
                <w:szCs w:val="20"/>
                <w:lang w:val="mk-MK"/>
              </w:rPr>
              <w:t>кај имателите на информации</w:t>
            </w:r>
          </w:p>
          <w:p w:rsidR="00202F45" w:rsidRPr="00776F4B" w:rsidRDefault="00202F45" w:rsidP="004B3C40">
            <w:pPr>
              <w:spacing w:after="0" w:line="240" w:lineRule="auto"/>
              <w:jc w:val="both"/>
              <w:rPr>
                <w:b/>
                <w:sz w:val="20"/>
                <w:szCs w:val="20"/>
              </w:rPr>
            </w:pPr>
            <w:r w:rsidRPr="00202F45">
              <w:rPr>
                <w:sz w:val="20"/>
                <w:szCs w:val="20"/>
                <w:lang w:val="mk-MK"/>
              </w:rPr>
              <w:t xml:space="preserve">    -</w:t>
            </w:r>
            <w:r>
              <w:t xml:space="preserve"> </w:t>
            </w:r>
            <w:r>
              <w:rPr>
                <w:lang w:val="mk-MK"/>
              </w:rPr>
              <w:t xml:space="preserve">        </w:t>
            </w:r>
            <w:r w:rsidRPr="00202F45">
              <w:rPr>
                <w:sz w:val="20"/>
                <w:szCs w:val="20"/>
                <w:lang w:val="mk-MK"/>
              </w:rPr>
              <w:t>Одржани 4 обуки за новинари и БИРН истражувачката мрежа на новинари за с</w:t>
            </w:r>
            <w:r>
              <w:rPr>
                <w:sz w:val="20"/>
                <w:szCs w:val="20"/>
                <w:lang w:val="mk-MK"/>
              </w:rPr>
              <w:t xml:space="preserve">проведување на правото за СПИЈК, со цел нивно запознавање со Законот за СПИЈК </w:t>
            </w:r>
            <w:r w:rsidRPr="00202F45">
              <w:rPr>
                <w:sz w:val="20"/>
                <w:szCs w:val="20"/>
                <w:lang w:val="mk-MK"/>
              </w:rPr>
              <w:t>(Центар за граѓански комуникации)</w:t>
            </w:r>
          </w:p>
          <w:p w:rsidR="00B132E5" w:rsidRPr="00776F4B" w:rsidRDefault="00B132E5" w:rsidP="004B3C40">
            <w:pPr>
              <w:spacing w:after="0" w:line="240" w:lineRule="auto"/>
              <w:ind w:left="180"/>
              <w:jc w:val="both"/>
              <w:rPr>
                <w:sz w:val="20"/>
                <w:szCs w:val="20"/>
                <w:lang w:val="mk-MK"/>
              </w:rPr>
            </w:pPr>
            <w:r w:rsidRPr="00776F4B">
              <w:rPr>
                <w:sz w:val="20"/>
                <w:szCs w:val="20"/>
                <w:lang w:val="mk-MK"/>
              </w:rPr>
              <w:t>-</w:t>
            </w:r>
            <w:r w:rsidRPr="00776F4B">
              <w:rPr>
                <w:sz w:val="20"/>
                <w:szCs w:val="20"/>
                <w:lang w:val="mk-MK"/>
              </w:rPr>
              <w:tab/>
              <w:t>Одржани 8 дводневни обуки во повеќе градови за граѓани и претставници на Здруженија на граѓани на кои учество зеле 188 лица, Одржани три обуки за членови на НВО-ции во Крушево и Скопје во соработка со УСАИД, Национален демократски институт и Млади европски федералисти, на следниве теми: „Правото на слободен пристап до информации“ и „Барање за слободен пристап до информации – алатка за набљудување на јавните политики“.(Фондација отворено општество-Македонија)</w:t>
            </w:r>
          </w:p>
          <w:p w:rsidR="00B132E5" w:rsidRPr="00776F4B" w:rsidRDefault="00B132E5" w:rsidP="004B3C40">
            <w:pPr>
              <w:spacing w:after="0" w:line="240" w:lineRule="auto"/>
              <w:ind w:left="180"/>
              <w:jc w:val="both"/>
              <w:rPr>
                <w:sz w:val="20"/>
                <w:szCs w:val="20"/>
                <w:lang w:val="mk-MK"/>
              </w:rPr>
            </w:pPr>
            <w:r w:rsidRPr="00776F4B">
              <w:rPr>
                <w:sz w:val="20"/>
                <w:szCs w:val="20"/>
                <w:lang w:val="mk-MK"/>
              </w:rPr>
              <w:t>-</w:t>
            </w:r>
            <w:r w:rsidRPr="00776F4B">
              <w:rPr>
                <w:sz w:val="20"/>
                <w:szCs w:val="20"/>
                <w:lang w:val="mk-MK"/>
              </w:rPr>
              <w:tab/>
              <w:t xml:space="preserve">Континуирано објавување на вести кои се однесуваат на транспарентноста и отчетноста на јавните институции http://www.esem.org.mk/index.php/najznachajni-vesti </w:t>
            </w:r>
          </w:p>
          <w:p w:rsidR="009C6C1B" w:rsidRPr="00776F4B" w:rsidRDefault="009C6C1B" w:rsidP="00AA6D9C">
            <w:pPr>
              <w:spacing w:after="0" w:line="240" w:lineRule="auto"/>
              <w:ind w:left="180"/>
              <w:jc w:val="both"/>
              <w:rPr>
                <w:sz w:val="20"/>
                <w:szCs w:val="20"/>
                <w:lang w:val="mk-MK"/>
              </w:rPr>
            </w:pPr>
            <w:r w:rsidRPr="009C6C1B">
              <w:rPr>
                <w:sz w:val="20"/>
                <w:szCs w:val="20"/>
                <w:lang w:val="mk-MK"/>
              </w:rPr>
              <w:t>www.fiskalnatransparentnost.org.mk</w:t>
            </w:r>
            <w:r>
              <w:rPr>
                <w:sz w:val="20"/>
                <w:szCs w:val="20"/>
                <w:lang w:val="mk-MK"/>
              </w:rPr>
              <w:t xml:space="preserve">, </w:t>
            </w:r>
            <w:r w:rsidRPr="009C6C1B">
              <w:rPr>
                <w:sz w:val="20"/>
                <w:szCs w:val="20"/>
                <w:lang w:val="mk-MK"/>
              </w:rPr>
              <w:t xml:space="preserve">обуки на три граѓански организации </w:t>
            </w:r>
            <w:r w:rsidR="00B132E5" w:rsidRPr="00776F4B">
              <w:rPr>
                <w:sz w:val="20"/>
                <w:szCs w:val="20"/>
                <w:lang w:val="mk-MK"/>
              </w:rPr>
              <w:t>(Здружение ЕСЕ)</w:t>
            </w:r>
          </w:p>
          <w:p w:rsidR="003E7CF5" w:rsidRPr="00B269A1" w:rsidRDefault="00B132E5" w:rsidP="00B269A1">
            <w:pPr>
              <w:spacing w:after="0" w:line="240" w:lineRule="auto"/>
              <w:ind w:left="180"/>
              <w:jc w:val="both"/>
              <w:rPr>
                <w:sz w:val="20"/>
                <w:szCs w:val="20"/>
              </w:rPr>
            </w:pPr>
            <w:r w:rsidRPr="00776F4B">
              <w:rPr>
                <w:sz w:val="20"/>
                <w:szCs w:val="20"/>
                <w:lang w:val="mk-MK"/>
              </w:rPr>
              <w:t>-</w:t>
            </w:r>
            <w:r w:rsidRPr="00776F4B">
              <w:rPr>
                <w:sz w:val="20"/>
                <w:szCs w:val="20"/>
                <w:lang w:val="mk-MK"/>
              </w:rPr>
              <w:tab/>
              <w:t xml:space="preserve">Комисијата посети 6 општини, во кои во соработка со Мисијата на ОБСЕ, беа одржани 6 обуки за студенти и средношколци, одржана обука на Факултетот за безбедност во Скопје, за Законот за слободен пристап до информации од јавен карактер, односно со можностите кои произлегуваат од него за барателите на информации од јавен карактер, како и со обврските и должностите кои произлегуваат од него за имателите на информации. Во соработка со Академијата за судии и јавни обвинители „Павел Шатев“ и Дирекцијата за заштита на личните податоци, Комисијата одржа три обуки за 24 претседатели на судови, 18 обвинители од јавните обвинителства во </w:t>
            </w:r>
            <w:r w:rsidRPr="00776F4B">
              <w:rPr>
                <w:sz w:val="20"/>
                <w:szCs w:val="20"/>
                <w:lang w:val="mk-MK"/>
              </w:rPr>
              <w:lastRenderedPageBreak/>
              <w:t>Република Македонија, и 46 офицери за заштита на лични податоци и службени лица кои постапуваат по барањата за слободен пристап до информации од јавен карактер, од судовите и обвинителствата од сите апелациони подрачја. Организирани и одржани четири обуки во соработка со Мисијата на ОБСЕ во Скопје. Четирите обуки се дел од предвидените шест обуки согласно потпишаниот Меморандум за соработка меѓу Комисијата и Мисијата на ОБСЕ во Скопје за 2015 година, кој означува четиригодишен континуитет на воспоставената плодна соработка меѓу двете институции. Првата обука се одржа во Скопје на која присуствуваа службени и одговорни лица од скопски општини, а на втората Работилница во Гостивар беа поканети и присуствуваа одговорни и службени лица од неколку општини од западниот дел на Република Македонија. На третата организирана во Штип учествуваа претставници на администрацијата од општини од источниот дел на државата. Четвртата обука за едукација на одговорни и службени лица кои посредуваат со информации од јавен карактер беше одржана во Демир Капија. Исто така, согласно претходно потпишаниот Меморандум за соработка со Факултетот за информатички науки и компјутерско инженерство, во просториите на оваа високообразовна институција пред студентите обучувачи од Комисијата го презентираа уставно загарантираното право, нормирано во Законот за слободен пристап до информации од јавен карактер. Претставници на Комисијата за извршителите и други претставници од повеќе инстанци на судската власт во Република Македонија, одржаа предавање за „Практичната примена на Законот за слободен пристап до информации од јавен карактер од аспект на извршувањето„.</w:t>
            </w:r>
            <w:r w:rsidR="001F06B7">
              <w:rPr>
                <w:sz w:val="20"/>
                <w:szCs w:val="20"/>
              </w:rPr>
              <w:t xml:space="preserve"> </w:t>
            </w:r>
            <w:r w:rsidR="00202F45">
              <w:rPr>
                <w:sz w:val="20"/>
                <w:szCs w:val="20"/>
                <w:lang w:val="mk-MK"/>
              </w:rPr>
              <w:t xml:space="preserve"> </w:t>
            </w:r>
            <w:r w:rsidR="001F06B7">
              <w:rPr>
                <w:sz w:val="20"/>
                <w:szCs w:val="20"/>
                <w:lang w:val="mk-MK"/>
              </w:rPr>
              <w:t xml:space="preserve">Три обуки за 60 –тина службени лица кај имателите на информации од јавен карактер, а </w:t>
            </w:r>
            <w:r w:rsidR="001F06B7" w:rsidRPr="001F06B7">
              <w:rPr>
                <w:sz w:val="20"/>
                <w:szCs w:val="20"/>
                <w:lang w:val="mk-MK"/>
              </w:rPr>
              <w:t xml:space="preserve">во функција на подигнување на јавната свест и степенот на запознаеност на имателите на информации со Законот </w:t>
            </w:r>
            <w:r w:rsidR="001F06B7">
              <w:rPr>
                <w:sz w:val="20"/>
                <w:szCs w:val="20"/>
                <w:lang w:val="mk-MK"/>
              </w:rPr>
              <w:t>СПИЈК</w:t>
            </w:r>
            <w:r w:rsidR="001F06B7" w:rsidRPr="001F06B7">
              <w:rPr>
                <w:sz w:val="20"/>
                <w:szCs w:val="20"/>
                <w:lang w:val="mk-MK"/>
              </w:rPr>
              <w:t xml:space="preserve"> и обврските кои за нив произлегуваат од него, како и начинот на остварување на правото на слободен пристап до информации од јавен карактер.</w:t>
            </w:r>
            <w:r w:rsidR="001F06B7">
              <w:rPr>
                <w:sz w:val="20"/>
                <w:szCs w:val="20"/>
                <w:lang w:val="mk-MK"/>
              </w:rPr>
              <w:t xml:space="preserve"> По претходно потпишан меморандум беше одржана обука за студентите од Факултетот за безбедност.</w:t>
            </w:r>
            <w:r w:rsidR="00B451CD">
              <w:rPr>
                <w:sz w:val="20"/>
                <w:szCs w:val="20"/>
                <w:lang w:val="mk-MK"/>
              </w:rPr>
              <w:t xml:space="preserve"> На веб локацијата на Комисијата поместени се апликативните решенија на Фондацијата отворено општество Македонија </w:t>
            </w:r>
            <w:r w:rsidR="00B451CD" w:rsidRPr="00B451CD">
              <w:rPr>
                <w:sz w:val="20"/>
                <w:szCs w:val="20"/>
                <w:lang w:val="mk-MK"/>
              </w:rPr>
              <w:t>(</w:t>
            </w:r>
            <w:hyperlink r:id="rId9" w:history="1">
              <w:r w:rsidR="00B451CD" w:rsidRPr="00B56EB2">
                <w:rPr>
                  <w:rStyle w:val="Hyperlink"/>
                  <w:sz w:val="20"/>
                  <w:szCs w:val="20"/>
                  <w:lang w:val="mk-MK"/>
                </w:rPr>
                <w:t>http://slobodenpristap.mk/</w:t>
              </w:r>
            </w:hyperlink>
            <w:r w:rsidR="00B451CD" w:rsidRPr="00B451CD">
              <w:rPr>
                <w:sz w:val="20"/>
                <w:szCs w:val="20"/>
                <w:lang w:val="mk-MK"/>
              </w:rPr>
              <w:t>)</w:t>
            </w:r>
            <w:r w:rsidR="00B451CD">
              <w:rPr>
                <w:sz w:val="20"/>
                <w:szCs w:val="20"/>
                <w:lang w:val="mk-MK"/>
              </w:rPr>
              <w:t xml:space="preserve"> и на Здружението ЕСЕ </w:t>
            </w:r>
            <w:r w:rsidR="00B451CD" w:rsidRPr="00B451CD">
              <w:rPr>
                <w:sz w:val="20"/>
                <w:szCs w:val="20"/>
                <w:lang w:val="mk-MK"/>
              </w:rPr>
              <w:t xml:space="preserve"> (</w:t>
            </w:r>
            <w:hyperlink r:id="rId10" w:history="1">
              <w:r w:rsidR="00B451CD" w:rsidRPr="00B56EB2">
                <w:rPr>
                  <w:rStyle w:val="Hyperlink"/>
                  <w:sz w:val="20"/>
                  <w:szCs w:val="20"/>
                  <w:lang w:val="mk-MK"/>
                </w:rPr>
                <w:t>http://www.fiskalnatransparentnost.org.mk/</w:t>
              </w:r>
            </w:hyperlink>
            <w:r w:rsidR="00B451CD">
              <w:rPr>
                <w:sz w:val="20"/>
                <w:szCs w:val="20"/>
                <w:lang w:val="mk-MK"/>
              </w:rPr>
              <w:t xml:space="preserve">) во форма на банер/линк. Граѓаните на многу едноставен и брз начин ќе можат да го искористат правото да поднесат барање до имателите на информации од јавен карактер. </w:t>
            </w:r>
            <w:r w:rsidR="00B451CD" w:rsidRPr="00B451CD">
              <w:rPr>
                <w:sz w:val="20"/>
                <w:szCs w:val="20"/>
                <w:lang w:val="mk-MK"/>
              </w:rPr>
              <w:t xml:space="preserve">  </w:t>
            </w:r>
          </w:p>
          <w:p w:rsidR="00B132E5" w:rsidRPr="00776F4B" w:rsidRDefault="00B132E5" w:rsidP="00202F45">
            <w:pPr>
              <w:spacing w:after="0" w:line="240" w:lineRule="auto"/>
              <w:jc w:val="both"/>
              <w:rPr>
                <w:sz w:val="20"/>
                <w:szCs w:val="20"/>
                <w:lang w:val="mk-MK"/>
              </w:rPr>
            </w:pPr>
            <w:r w:rsidRPr="00776F4B">
              <w:rPr>
                <w:b/>
                <w:sz w:val="20"/>
                <w:szCs w:val="20"/>
                <w:lang w:val="mk-MK"/>
              </w:rPr>
              <w:t xml:space="preserve">Мерка 3. </w:t>
            </w:r>
            <w:proofErr w:type="spellStart"/>
            <w:r w:rsidRPr="00776F4B">
              <w:rPr>
                <w:b/>
                <w:sz w:val="20"/>
                <w:szCs w:val="20"/>
              </w:rPr>
              <w:t>Изработка</w:t>
            </w:r>
            <w:proofErr w:type="spellEnd"/>
            <w:r w:rsidRPr="00776F4B">
              <w:rPr>
                <w:b/>
                <w:sz w:val="20"/>
                <w:szCs w:val="20"/>
              </w:rPr>
              <w:t xml:space="preserve"> </w:t>
            </w:r>
            <w:proofErr w:type="spellStart"/>
            <w:r w:rsidRPr="00776F4B">
              <w:rPr>
                <w:b/>
                <w:sz w:val="20"/>
                <w:szCs w:val="20"/>
              </w:rPr>
              <w:t>на</w:t>
            </w:r>
            <w:proofErr w:type="spellEnd"/>
            <w:r w:rsidRPr="00776F4B">
              <w:rPr>
                <w:b/>
                <w:sz w:val="20"/>
                <w:szCs w:val="20"/>
              </w:rPr>
              <w:t xml:space="preserve"> </w:t>
            </w:r>
            <w:proofErr w:type="spellStart"/>
            <w:r w:rsidRPr="00776F4B">
              <w:rPr>
                <w:b/>
                <w:sz w:val="20"/>
                <w:szCs w:val="20"/>
              </w:rPr>
              <w:t>нова</w:t>
            </w:r>
            <w:proofErr w:type="spellEnd"/>
            <w:r w:rsidRPr="00776F4B">
              <w:rPr>
                <w:b/>
                <w:sz w:val="20"/>
                <w:szCs w:val="20"/>
              </w:rPr>
              <w:t xml:space="preserve"> </w:t>
            </w:r>
            <w:proofErr w:type="spellStart"/>
            <w:r w:rsidRPr="00776F4B">
              <w:rPr>
                <w:b/>
                <w:sz w:val="20"/>
                <w:szCs w:val="20"/>
              </w:rPr>
              <w:t>веб</w:t>
            </w:r>
            <w:proofErr w:type="spellEnd"/>
            <w:r w:rsidRPr="00776F4B">
              <w:rPr>
                <w:b/>
                <w:sz w:val="20"/>
                <w:szCs w:val="20"/>
              </w:rPr>
              <w:t xml:space="preserve"> </w:t>
            </w:r>
            <w:proofErr w:type="spellStart"/>
            <w:r w:rsidRPr="00776F4B">
              <w:rPr>
                <w:b/>
                <w:sz w:val="20"/>
                <w:szCs w:val="20"/>
              </w:rPr>
              <w:t>локација</w:t>
            </w:r>
            <w:proofErr w:type="spellEnd"/>
            <w:r w:rsidRPr="00776F4B">
              <w:rPr>
                <w:b/>
                <w:sz w:val="20"/>
                <w:szCs w:val="20"/>
              </w:rPr>
              <w:t xml:space="preserve"> </w:t>
            </w:r>
            <w:proofErr w:type="spellStart"/>
            <w:r w:rsidRPr="00776F4B">
              <w:rPr>
                <w:b/>
                <w:sz w:val="20"/>
                <w:szCs w:val="20"/>
              </w:rPr>
              <w:t>на</w:t>
            </w:r>
            <w:proofErr w:type="spellEnd"/>
            <w:r w:rsidRPr="00776F4B">
              <w:rPr>
                <w:b/>
                <w:sz w:val="20"/>
                <w:szCs w:val="20"/>
              </w:rPr>
              <w:t xml:space="preserve"> </w:t>
            </w:r>
            <w:proofErr w:type="spellStart"/>
            <w:r w:rsidRPr="00776F4B">
              <w:rPr>
                <w:b/>
                <w:sz w:val="20"/>
                <w:szCs w:val="20"/>
              </w:rPr>
              <w:t>Комисијата</w:t>
            </w:r>
            <w:proofErr w:type="spellEnd"/>
          </w:p>
          <w:p w:rsidR="00B132E5" w:rsidRPr="00776F4B" w:rsidRDefault="00B132E5" w:rsidP="004B3C40">
            <w:pPr>
              <w:spacing w:after="0" w:line="240" w:lineRule="auto"/>
              <w:ind w:left="720"/>
              <w:jc w:val="both"/>
              <w:rPr>
                <w:b/>
                <w:sz w:val="20"/>
                <w:szCs w:val="20"/>
                <w:lang w:val="mk-MK"/>
              </w:rPr>
            </w:pPr>
            <w:r w:rsidRPr="00776F4B">
              <w:rPr>
                <w:sz w:val="20"/>
                <w:szCs w:val="20"/>
                <w:lang w:val="mk-MK"/>
              </w:rPr>
              <w:t xml:space="preserve">Изработена е нова веб локација на Комисијата во соработка со Министерството за информатичко општество и администрација и истата е во функција за нејзино користење од страна на барателите и имателите на информации. На страната се поместени </w:t>
            </w:r>
            <w:r w:rsidRPr="00776F4B">
              <w:rPr>
                <w:sz w:val="20"/>
                <w:szCs w:val="20"/>
                <w:lang w:val="mk-MK"/>
              </w:rPr>
              <w:lastRenderedPageBreak/>
              <w:t>сите потребни информации кои се однесуваат на Законот за СПИЈК и е збогатена со нови линковски решенија на кои што на најтранспарентен начин се прикажува работата на Комисијата.</w:t>
            </w:r>
          </w:p>
          <w:p w:rsidR="00B132E5" w:rsidRPr="00776F4B" w:rsidRDefault="00B132E5" w:rsidP="004B3C40">
            <w:pPr>
              <w:spacing w:after="0" w:line="240" w:lineRule="auto"/>
              <w:jc w:val="both"/>
              <w:rPr>
                <w:b/>
                <w:sz w:val="20"/>
                <w:szCs w:val="20"/>
                <w:lang w:val="mk-MK"/>
              </w:rPr>
            </w:pPr>
            <w:r w:rsidRPr="00776F4B">
              <w:rPr>
                <w:b/>
                <w:sz w:val="20"/>
                <w:szCs w:val="20"/>
                <w:lang w:val="mk-MK"/>
              </w:rPr>
              <w:t>Мерка 6: Унапредување на финансиските и човечките ресурси на Комисијата</w:t>
            </w:r>
          </w:p>
          <w:p w:rsidR="00B132E5" w:rsidRPr="001F06B7" w:rsidRDefault="00B132E5" w:rsidP="001F06B7">
            <w:pPr>
              <w:pStyle w:val="ListParagraph"/>
              <w:numPr>
                <w:ilvl w:val="0"/>
                <w:numId w:val="3"/>
              </w:numPr>
              <w:spacing w:after="0" w:line="240" w:lineRule="auto"/>
              <w:jc w:val="both"/>
              <w:rPr>
                <w:sz w:val="20"/>
                <w:szCs w:val="20"/>
                <w:lang w:val="mk-MK"/>
              </w:rPr>
            </w:pPr>
            <w:r w:rsidRPr="001F06B7">
              <w:rPr>
                <w:sz w:val="20"/>
                <w:szCs w:val="20"/>
                <w:lang w:val="mk-MK"/>
              </w:rPr>
              <w:t>Буџетот на Комисијата за ЗПСПИЈК е зголемен за 500.000,00 денариво делот на плати, поради прев</w:t>
            </w:r>
            <w:r w:rsidR="00202F45" w:rsidRPr="001F06B7">
              <w:rPr>
                <w:sz w:val="20"/>
                <w:szCs w:val="20"/>
                <w:lang w:val="mk-MK"/>
              </w:rPr>
              <w:t>земање на 5 лица во Комисијата.</w:t>
            </w:r>
          </w:p>
          <w:p w:rsidR="00B132E5" w:rsidRPr="00776F4B" w:rsidRDefault="00B132E5" w:rsidP="004B3C40">
            <w:pPr>
              <w:spacing w:after="0" w:line="240" w:lineRule="auto"/>
              <w:jc w:val="both"/>
              <w:rPr>
                <w:b/>
                <w:sz w:val="20"/>
                <w:szCs w:val="20"/>
                <w:lang w:val="mk-MK"/>
              </w:rPr>
            </w:pPr>
            <w:r w:rsidRPr="00776F4B">
              <w:rPr>
                <w:b/>
                <w:sz w:val="20"/>
                <w:szCs w:val="20"/>
                <w:lang w:val="mk-MK"/>
              </w:rPr>
              <w:t>Мерка 8: Објавување на информации за буџетска и програмска имплементација на здравствените буџети, со посебен фокус на буџетската и финансиската имплементација на превентивните програми на Министерството за здравство, добиени преку постапка за пристап до информации од јавен карактер. www.esem.org.mk</w:t>
            </w:r>
          </w:p>
          <w:p w:rsidR="00B132E5" w:rsidRPr="00776F4B" w:rsidRDefault="00B132E5" w:rsidP="004B3C40">
            <w:pPr>
              <w:spacing w:after="0" w:line="240" w:lineRule="auto"/>
              <w:ind w:left="180"/>
              <w:jc w:val="both"/>
              <w:rPr>
                <w:sz w:val="20"/>
                <w:szCs w:val="20"/>
              </w:rPr>
            </w:pPr>
            <w:r w:rsidRPr="00776F4B">
              <w:rPr>
                <w:sz w:val="20"/>
                <w:szCs w:val="20"/>
              </w:rPr>
              <w:t>-</w:t>
            </w:r>
            <w:r w:rsidRPr="00776F4B">
              <w:rPr>
                <w:sz w:val="20"/>
                <w:szCs w:val="20"/>
              </w:rPr>
              <w:tab/>
            </w:r>
            <w:proofErr w:type="spellStart"/>
            <w:r w:rsidRPr="00776F4B">
              <w:rPr>
                <w:sz w:val="20"/>
                <w:szCs w:val="20"/>
              </w:rPr>
              <w:t>Согласно</w:t>
            </w:r>
            <w:proofErr w:type="spellEnd"/>
            <w:r w:rsidRPr="00776F4B">
              <w:rPr>
                <w:sz w:val="20"/>
                <w:szCs w:val="20"/>
              </w:rPr>
              <w:t xml:space="preserve"> </w:t>
            </w:r>
            <w:proofErr w:type="spellStart"/>
            <w:r w:rsidRPr="00776F4B">
              <w:rPr>
                <w:sz w:val="20"/>
                <w:szCs w:val="20"/>
              </w:rPr>
              <w:t>мерката</w:t>
            </w:r>
            <w:proofErr w:type="spellEnd"/>
            <w:r w:rsidRPr="00776F4B">
              <w:rPr>
                <w:sz w:val="20"/>
                <w:szCs w:val="20"/>
              </w:rPr>
              <w:t xml:space="preserve"> 8, </w:t>
            </w:r>
            <w:proofErr w:type="spellStart"/>
            <w:r w:rsidRPr="00776F4B">
              <w:rPr>
                <w:sz w:val="20"/>
                <w:szCs w:val="20"/>
              </w:rPr>
              <w:t>Министерството</w:t>
            </w:r>
            <w:proofErr w:type="spellEnd"/>
            <w:r w:rsidRPr="00776F4B">
              <w:rPr>
                <w:sz w:val="20"/>
                <w:szCs w:val="20"/>
              </w:rPr>
              <w:t xml:space="preserve"> </w:t>
            </w:r>
            <w:proofErr w:type="spellStart"/>
            <w:r w:rsidRPr="00776F4B">
              <w:rPr>
                <w:sz w:val="20"/>
                <w:szCs w:val="20"/>
              </w:rPr>
              <w:t>за</w:t>
            </w:r>
            <w:proofErr w:type="spellEnd"/>
            <w:r w:rsidRPr="00776F4B">
              <w:rPr>
                <w:sz w:val="20"/>
                <w:szCs w:val="20"/>
              </w:rPr>
              <w:t xml:space="preserve"> </w:t>
            </w:r>
            <w:proofErr w:type="spellStart"/>
            <w:r w:rsidRPr="00776F4B">
              <w:rPr>
                <w:sz w:val="20"/>
                <w:szCs w:val="20"/>
              </w:rPr>
              <w:t>здравство</w:t>
            </w:r>
            <w:proofErr w:type="spellEnd"/>
            <w:r w:rsidRPr="00776F4B">
              <w:rPr>
                <w:sz w:val="20"/>
                <w:szCs w:val="20"/>
              </w:rPr>
              <w:t xml:space="preserve"> </w:t>
            </w:r>
            <w:proofErr w:type="spellStart"/>
            <w:r w:rsidRPr="00776F4B">
              <w:rPr>
                <w:sz w:val="20"/>
                <w:szCs w:val="20"/>
              </w:rPr>
              <w:t>изготви</w:t>
            </w:r>
            <w:proofErr w:type="spellEnd"/>
            <w:r w:rsidRPr="00776F4B">
              <w:rPr>
                <w:sz w:val="20"/>
                <w:szCs w:val="20"/>
              </w:rPr>
              <w:t xml:space="preserve"> </w:t>
            </w:r>
            <w:proofErr w:type="spellStart"/>
            <w:r w:rsidRPr="00776F4B">
              <w:rPr>
                <w:sz w:val="20"/>
                <w:szCs w:val="20"/>
              </w:rPr>
              <w:t>апликација</w:t>
            </w:r>
            <w:proofErr w:type="spellEnd"/>
            <w:r w:rsidRPr="00776F4B">
              <w:rPr>
                <w:sz w:val="20"/>
                <w:szCs w:val="20"/>
              </w:rPr>
              <w:t xml:space="preserve"> </w:t>
            </w:r>
            <w:proofErr w:type="spellStart"/>
            <w:r w:rsidRPr="00776F4B">
              <w:rPr>
                <w:sz w:val="20"/>
                <w:szCs w:val="20"/>
              </w:rPr>
              <w:t>во</w:t>
            </w:r>
            <w:proofErr w:type="spellEnd"/>
            <w:r w:rsidRPr="00776F4B">
              <w:rPr>
                <w:sz w:val="20"/>
                <w:szCs w:val="20"/>
              </w:rPr>
              <w:t xml:space="preserve"> </w:t>
            </w:r>
            <w:proofErr w:type="spellStart"/>
            <w:r w:rsidRPr="00776F4B">
              <w:rPr>
                <w:sz w:val="20"/>
                <w:szCs w:val="20"/>
              </w:rPr>
              <w:t>која</w:t>
            </w:r>
            <w:proofErr w:type="spellEnd"/>
            <w:r w:rsidRPr="00776F4B">
              <w:rPr>
                <w:sz w:val="20"/>
                <w:szCs w:val="20"/>
              </w:rPr>
              <w:t xml:space="preserve"> </w:t>
            </w:r>
            <w:proofErr w:type="spellStart"/>
            <w:r w:rsidRPr="00776F4B">
              <w:rPr>
                <w:sz w:val="20"/>
                <w:szCs w:val="20"/>
              </w:rPr>
              <w:t>се</w:t>
            </w:r>
            <w:proofErr w:type="spellEnd"/>
            <w:r w:rsidRPr="00776F4B">
              <w:rPr>
                <w:sz w:val="20"/>
                <w:szCs w:val="20"/>
              </w:rPr>
              <w:t xml:space="preserve"> </w:t>
            </w:r>
            <w:proofErr w:type="spellStart"/>
            <w:r w:rsidRPr="00776F4B">
              <w:rPr>
                <w:sz w:val="20"/>
                <w:szCs w:val="20"/>
              </w:rPr>
              <w:t>поместени</w:t>
            </w:r>
            <w:proofErr w:type="spellEnd"/>
            <w:r w:rsidRPr="00776F4B">
              <w:rPr>
                <w:sz w:val="20"/>
                <w:szCs w:val="20"/>
              </w:rPr>
              <w:t xml:space="preserve"> </w:t>
            </w:r>
            <w:proofErr w:type="spellStart"/>
            <w:r w:rsidRPr="00776F4B">
              <w:rPr>
                <w:sz w:val="20"/>
                <w:szCs w:val="20"/>
              </w:rPr>
              <w:t>сите</w:t>
            </w:r>
            <w:proofErr w:type="spellEnd"/>
            <w:r w:rsidRPr="00776F4B">
              <w:rPr>
                <w:sz w:val="20"/>
                <w:szCs w:val="20"/>
              </w:rPr>
              <w:t xml:space="preserve"> </w:t>
            </w:r>
            <w:proofErr w:type="spellStart"/>
            <w:r w:rsidRPr="00776F4B">
              <w:rPr>
                <w:sz w:val="20"/>
                <w:szCs w:val="20"/>
              </w:rPr>
              <w:t>потребни</w:t>
            </w:r>
            <w:proofErr w:type="spellEnd"/>
            <w:r w:rsidRPr="00776F4B">
              <w:rPr>
                <w:sz w:val="20"/>
                <w:szCs w:val="20"/>
              </w:rPr>
              <w:t xml:space="preserve"> </w:t>
            </w:r>
            <w:proofErr w:type="spellStart"/>
            <w:r w:rsidRPr="00776F4B">
              <w:rPr>
                <w:sz w:val="20"/>
                <w:szCs w:val="20"/>
              </w:rPr>
              <w:t>информации</w:t>
            </w:r>
            <w:proofErr w:type="spellEnd"/>
            <w:r w:rsidRPr="00776F4B">
              <w:rPr>
                <w:sz w:val="20"/>
                <w:szCs w:val="20"/>
              </w:rPr>
              <w:t xml:space="preserve"> </w:t>
            </w:r>
            <w:proofErr w:type="spellStart"/>
            <w:r w:rsidRPr="00776F4B">
              <w:rPr>
                <w:sz w:val="20"/>
                <w:szCs w:val="20"/>
              </w:rPr>
              <w:t>од</w:t>
            </w:r>
            <w:proofErr w:type="spellEnd"/>
            <w:r w:rsidRPr="00776F4B">
              <w:rPr>
                <w:sz w:val="20"/>
                <w:szCs w:val="20"/>
              </w:rPr>
              <w:t xml:space="preserve"> </w:t>
            </w:r>
            <w:proofErr w:type="spellStart"/>
            <w:r w:rsidRPr="00776F4B">
              <w:rPr>
                <w:sz w:val="20"/>
                <w:szCs w:val="20"/>
              </w:rPr>
              <w:t>јавен</w:t>
            </w:r>
            <w:proofErr w:type="spellEnd"/>
            <w:r w:rsidRPr="00776F4B">
              <w:rPr>
                <w:sz w:val="20"/>
                <w:szCs w:val="20"/>
              </w:rPr>
              <w:t xml:space="preserve"> </w:t>
            </w:r>
            <w:proofErr w:type="spellStart"/>
            <w:r w:rsidRPr="00776F4B">
              <w:rPr>
                <w:sz w:val="20"/>
                <w:szCs w:val="20"/>
              </w:rPr>
              <w:t>карактер</w:t>
            </w:r>
            <w:proofErr w:type="spellEnd"/>
            <w:r w:rsidRPr="00776F4B">
              <w:rPr>
                <w:sz w:val="20"/>
                <w:szCs w:val="20"/>
              </w:rPr>
              <w:t xml:space="preserve"> </w:t>
            </w:r>
            <w:proofErr w:type="spellStart"/>
            <w:r w:rsidRPr="00776F4B">
              <w:rPr>
                <w:sz w:val="20"/>
                <w:szCs w:val="20"/>
              </w:rPr>
              <w:t>кои</w:t>
            </w:r>
            <w:proofErr w:type="spellEnd"/>
            <w:r w:rsidRPr="00776F4B">
              <w:rPr>
                <w:sz w:val="20"/>
                <w:szCs w:val="20"/>
              </w:rPr>
              <w:t xml:space="preserve"> </w:t>
            </w:r>
            <w:proofErr w:type="spellStart"/>
            <w:r w:rsidRPr="00776F4B">
              <w:rPr>
                <w:sz w:val="20"/>
                <w:szCs w:val="20"/>
              </w:rPr>
              <w:t>што</w:t>
            </w:r>
            <w:proofErr w:type="spellEnd"/>
            <w:r w:rsidRPr="00776F4B">
              <w:rPr>
                <w:sz w:val="20"/>
                <w:szCs w:val="20"/>
              </w:rPr>
              <w:t xml:space="preserve"> </w:t>
            </w:r>
            <w:proofErr w:type="spellStart"/>
            <w:r w:rsidRPr="00776F4B">
              <w:rPr>
                <w:sz w:val="20"/>
                <w:szCs w:val="20"/>
              </w:rPr>
              <w:t>беа</w:t>
            </w:r>
            <w:proofErr w:type="spellEnd"/>
            <w:r w:rsidRPr="00776F4B">
              <w:rPr>
                <w:sz w:val="20"/>
                <w:szCs w:val="20"/>
              </w:rPr>
              <w:t xml:space="preserve"> </w:t>
            </w:r>
            <w:proofErr w:type="spellStart"/>
            <w:r w:rsidRPr="00776F4B">
              <w:rPr>
                <w:sz w:val="20"/>
                <w:szCs w:val="20"/>
              </w:rPr>
              <w:t>предмет</w:t>
            </w:r>
            <w:proofErr w:type="spellEnd"/>
            <w:r w:rsidRPr="00776F4B">
              <w:rPr>
                <w:sz w:val="20"/>
                <w:szCs w:val="20"/>
              </w:rPr>
              <w:t xml:space="preserve"> </w:t>
            </w:r>
            <w:proofErr w:type="spellStart"/>
            <w:r w:rsidRPr="00776F4B">
              <w:rPr>
                <w:sz w:val="20"/>
                <w:szCs w:val="20"/>
              </w:rPr>
              <w:t>на</w:t>
            </w:r>
            <w:proofErr w:type="spellEnd"/>
            <w:r w:rsidRPr="00776F4B">
              <w:rPr>
                <w:sz w:val="20"/>
                <w:szCs w:val="20"/>
              </w:rPr>
              <w:t xml:space="preserve"> </w:t>
            </w:r>
            <w:proofErr w:type="spellStart"/>
            <w:r w:rsidRPr="00776F4B">
              <w:rPr>
                <w:sz w:val="20"/>
                <w:szCs w:val="20"/>
              </w:rPr>
              <w:t>барања</w:t>
            </w:r>
            <w:proofErr w:type="spellEnd"/>
            <w:r w:rsidRPr="00776F4B">
              <w:rPr>
                <w:sz w:val="20"/>
                <w:szCs w:val="20"/>
              </w:rPr>
              <w:t xml:space="preserve"> </w:t>
            </w:r>
            <w:proofErr w:type="spellStart"/>
            <w:r w:rsidRPr="00776F4B">
              <w:rPr>
                <w:sz w:val="20"/>
                <w:szCs w:val="20"/>
              </w:rPr>
              <w:t>за</w:t>
            </w:r>
            <w:proofErr w:type="spellEnd"/>
            <w:r w:rsidRPr="00776F4B">
              <w:rPr>
                <w:sz w:val="20"/>
                <w:szCs w:val="20"/>
              </w:rPr>
              <w:t xml:space="preserve"> </w:t>
            </w:r>
            <w:proofErr w:type="spellStart"/>
            <w:r w:rsidRPr="00776F4B">
              <w:rPr>
                <w:sz w:val="20"/>
                <w:szCs w:val="20"/>
              </w:rPr>
              <w:t>добивање</w:t>
            </w:r>
            <w:proofErr w:type="spellEnd"/>
            <w:r w:rsidRPr="00776F4B">
              <w:rPr>
                <w:sz w:val="20"/>
                <w:szCs w:val="20"/>
              </w:rPr>
              <w:t xml:space="preserve"> </w:t>
            </w:r>
            <w:proofErr w:type="spellStart"/>
            <w:r w:rsidRPr="00776F4B">
              <w:rPr>
                <w:sz w:val="20"/>
                <w:szCs w:val="20"/>
              </w:rPr>
              <w:t>на</w:t>
            </w:r>
            <w:proofErr w:type="spellEnd"/>
            <w:r w:rsidRPr="00776F4B">
              <w:rPr>
                <w:sz w:val="20"/>
                <w:szCs w:val="20"/>
              </w:rPr>
              <w:t xml:space="preserve"> </w:t>
            </w:r>
            <w:proofErr w:type="spellStart"/>
            <w:r w:rsidRPr="00776F4B">
              <w:rPr>
                <w:sz w:val="20"/>
                <w:szCs w:val="20"/>
              </w:rPr>
              <w:t>информации</w:t>
            </w:r>
            <w:proofErr w:type="spellEnd"/>
            <w:r w:rsidRPr="00776F4B">
              <w:rPr>
                <w:sz w:val="20"/>
                <w:szCs w:val="20"/>
              </w:rPr>
              <w:t xml:space="preserve"> </w:t>
            </w:r>
            <w:proofErr w:type="spellStart"/>
            <w:r w:rsidRPr="00776F4B">
              <w:rPr>
                <w:sz w:val="20"/>
                <w:szCs w:val="20"/>
              </w:rPr>
              <w:t>од</w:t>
            </w:r>
            <w:proofErr w:type="spellEnd"/>
            <w:r w:rsidRPr="00776F4B">
              <w:rPr>
                <w:sz w:val="20"/>
                <w:szCs w:val="20"/>
              </w:rPr>
              <w:t xml:space="preserve"> </w:t>
            </w:r>
            <w:proofErr w:type="spellStart"/>
            <w:r w:rsidRPr="00776F4B">
              <w:rPr>
                <w:sz w:val="20"/>
                <w:szCs w:val="20"/>
              </w:rPr>
              <w:t>јавен</w:t>
            </w:r>
            <w:proofErr w:type="spellEnd"/>
            <w:r w:rsidRPr="00776F4B">
              <w:rPr>
                <w:sz w:val="20"/>
                <w:szCs w:val="20"/>
              </w:rPr>
              <w:t xml:space="preserve"> </w:t>
            </w:r>
            <w:proofErr w:type="spellStart"/>
            <w:r w:rsidRPr="00776F4B">
              <w:rPr>
                <w:sz w:val="20"/>
                <w:szCs w:val="20"/>
              </w:rPr>
              <w:t>карактер</w:t>
            </w:r>
            <w:proofErr w:type="spellEnd"/>
            <w:r w:rsidRPr="00776F4B">
              <w:rPr>
                <w:sz w:val="20"/>
                <w:szCs w:val="20"/>
              </w:rPr>
              <w:t xml:space="preserve"> </w:t>
            </w:r>
            <w:proofErr w:type="spellStart"/>
            <w:r w:rsidRPr="00776F4B">
              <w:rPr>
                <w:sz w:val="20"/>
                <w:szCs w:val="20"/>
              </w:rPr>
              <w:t>од</w:t>
            </w:r>
            <w:proofErr w:type="spellEnd"/>
            <w:r w:rsidRPr="00776F4B">
              <w:rPr>
                <w:sz w:val="20"/>
                <w:szCs w:val="20"/>
              </w:rPr>
              <w:t xml:space="preserve"> </w:t>
            </w:r>
            <w:proofErr w:type="spellStart"/>
            <w:r w:rsidRPr="00776F4B">
              <w:rPr>
                <w:sz w:val="20"/>
                <w:szCs w:val="20"/>
              </w:rPr>
              <w:t>страна</w:t>
            </w:r>
            <w:proofErr w:type="spellEnd"/>
            <w:r w:rsidRPr="00776F4B">
              <w:rPr>
                <w:sz w:val="20"/>
                <w:szCs w:val="20"/>
              </w:rPr>
              <w:t xml:space="preserve"> </w:t>
            </w:r>
            <w:proofErr w:type="spellStart"/>
            <w:r w:rsidRPr="00776F4B">
              <w:rPr>
                <w:sz w:val="20"/>
                <w:szCs w:val="20"/>
              </w:rPr>
              <w:t>на</w:t>
            </w:r>
            <w:proofErr w:type="spellEnd"/>
            <w:r w:rsidRPr="00776F4B">
              <w:rPr>
                <w:sz w:val="20"/>
                <w:szCs w:val="20"/>
              </w:rPr>
              <w:t xml:space="preserve"> </w:t>
            </w:r>
            <w:proofErr w:type="spellStart"/>
            <w:r w:rsidRPr="00776F4B">
              <w:rPr>
                <w:sz w:val="20"/>
                <w:szCs w:val="20"/>
              </w:rPr>
              <w:t>Здружението</w:t>
            </w:r>
            <w:proofErr w:type="spellEnd"/>
            <w:r w:rsidRPr="00776F4B">
              <w:rPr>
                <w:sz w:val="20"/>
                <w:szCs w:val="20"/>
              </w:rPr>
              <w:t xml:space="preserve"> ЕСЕ.</w:t>
            </w:r>
          </w:p>
        </w:tc>
      </w:tr>
      <w:tr w:rsidR="00B132E5" w:rsidRPr="00776F4B" w:rsidTr="00202F45">
        <w:tc>
          <w:tcPr>
            <w:tcW w:w="3952" w:type="dxa"/>
            <w:gridSpan w:val="3"/>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lastRenderedPageBreak/>
              <w:t>Краен датум</w:t>
            </w:r>
          </w:p>
        </w:tc>
        <w:tc>
          <w:tcPr>
            <w:tcW w:w="5624" w:type="dxa"/>
            <w:gridSpan w:val="4"/>
          </w:tcPr>
          <w:p w:rsidR="00B132E5" w:rsidRPr="00647A7B" w:rsidRDefault="00647A7B" w:rsidP="004B3C40">
            <w:pPr>
              <w:spacing w:after="0" w:line="240" w:lineRule="auto"/>
              <w:rPr>
                <w:sz w:val="20"/>
                <w:szCs w:val="20"/>
              </w:rPr>
            </w:pPr>
            <w:r>
              <w:rPr>
                <w:sz w:val="20"/>
                <w:szCs w:val="20"/>
                <w:lang w:val="mk-MK"/>
              </w:rPr>
              <w:t>Декември 2014  - Декември 2015</w:t>
            </w:r>
          </w:p>
        </w:tc>
      </w:tr>
      <w:tr w:rsidR="00B132E5" w:rsidRPr="00776F4B" w:rsidTr="00202F45">
        <w:tc>
          <w:tcPr>
            <w:tcW w:w="3952" w:type="dxa"/>
            <w:gridSpan w:val="3"/>
          </w:tcPr>
          <w:p w:rsidR="00B132E5" w:rsidRPr="00776F4B" w:rsidRDefault="00B132E5" w:rsidP="004B3C40">
            <w:pPr>
              <w:spacing w:after="0" w:line="240" w:lineRule="auto"/>
              <w:jc w:val="both"/>
              <w:rPr>
                <w:color w:val="878786"/>
                <w:spacing w:val="-6"/>
                <w:w w:val="124"/>
                <w:sz w:val="18"/>
                <w:szCs w:val="18"/>
                <w:lang w:val="mk-MK"/>
              </w:rPr>
            </w:pPr>
            <w:r w:rsidRPr="00776F4B">
              <w:rPr>
                <w:color w:val="878786"/>
                <w:spacing w:val="-6"/>
                <w:w w:val="124"/>
                <w:sz w:val="18"/>
                <w:szCs w:val="18"/>
                <w:lang w:val="mk-MK"/>
              </w:rPr>
              <w:t>Следни чекори</w:t>
            </w:r>
          </w:p>
        </w:tc>
        <w:tc>
          <w:tcPr>
            <w:tcW w:w="5624" w:type="dxa"/>
            <w:gridSpan w:val="4"/>
          </w:tcPr>
          <w:p w:rsidR="00B132E5" w:rsidRPr="00776F4B" w:rsidRDefault="00B132E5" w:rsidP="004B3C40">
            <w:pPr>
              <w:spacing w:after="0" w:line="240" w:lineRule="auto"/>
              <w:jc w:val="both"/>
              <w:rPr>
                <w:b/>
                <w:sz w:val="20"/>
                <w:szCs w:val="20"/>
                <w:lang w:val="mk-MK"/>
              </w:rPr>
            </w:pPr>
            <w:r w:rsidRPr="00776F4B">
              <w:rPr>
                <w:b/>
                <w:sz w:val="20"/>
                <w:szCs w:val="20"/>
                <w:lang w:val="mk-MK"/>
              </w:rPr>
              <w:t xml:space="preserve"> /</w:t>
            </w:r>
          </w:p>
        </w:tc>
      </w:tr>
      <w:tr w:rsidR="00B132E5" w:rsidRPr="00776F4B" w:rsidTr="00202F45">
        <w:tc>
          <w:tcPr>
            <w:tcW w:w="9576" w:type="dxa"/>
            <w:gridSpan w:val="7"/>
          </w:tcPr>
          <w:p w:rsidR="00B132E5" w:rsidRPr="00776F4B" w:rsidRDefault="00B132E5" w:rsidP="00B451CD">
            <w:pPr>
              <w:spacing w:after="0" w:line="240" w:lineRule="auto"/>
              <w:jc w:val="both"/>
              <w:rPr>
                <w:b/>
                <w:lang w:val="mk-MK"/>
              </w:rPr>
            </w:pPr>
            <w:r w:rsidRPr="00B451CD">
              <w:rPr>
                <w:b/>
                <w:color w:val="878786"/>
                <w:spacing w:val="-6"/>
                <w:w w:val="124"/>
                <w:sz w:val="18"/>
                <w:szCs w:val="18"/>
                <w:lang w:val="mk-MK"/>
              </w:rPr>
              <w:t>Допо</w:t>
            </w:r>
            <w:r w:rsidR="003E7CF5" w:rsidRPr="00B451CD">
              <w:rPr>
                <w:b/>
                <w:color w:val="878786"/>
                <w:spacing w:val="-6"/>
                <w:w w:val="124"/>
                <w:sz w:val="18"/>
                <w:szCs w:val="18"/>
                <w:lang w:val="mk-MK"/>
              </w:rPr>
              <w:t>лнителни информации (Резиме на завршените активности)</w:t>
            </w:r>
            <w:r w:rsidR="00B451CD">
              <w:rPr>
                <w:b/>
                <w:color w:val="878786"/>
                <w:spacing w:val="-6"/>
                <w:w w:val="124"/>
                <w:sz w:val="18"/>
                <w:szCs w:val="18"/>
                <w:lang w:val="mk-MK"/>
              </w:rPr>
              <w:t>:</w:t>
            </w:r>
            <w:r w:rsidR="003E7CF5">
              <w:rPr>
                <w:color w:val="878786"/>
                <w:spacing w:val="-6"/>
                <w:w w:val="124"/>
                <w:sz w:val="18"/>
                <w:szCs w:val="18"/>
                <w:lang w:val="mk-MK"/>
              </w:rPr>
              <w:t xml:space="preserve"> </w:t>
            </w:r>
            <w:r w:rsidR="00044AAF">
              <w:rPr>
                <w:color w:val="878786"/>
                <w:spacing w:val="-6"/>
                <w:w w:val="124"/>
                <w:sz w:val="18"/>
                <w:szCs w:val="18"/>
                <w:lang w:val="mk-MK"/>
              </w:rPr>
              <w:t>Придобивки од спроведените мерки се тоа што со Законот за СПИЈК се запознаени преку спроведените обуки и кампањи новинари, не</w:t>
            </w:r>
            <w:r w:rsidR="00384147">
              <w:rPr>
                <w:color w:val="878786"/>
                <w:spacing w:val="-6"/>
                <w:w w:val="124"/>
                <w:sz w:val="18"/>
                <w:szCs w:val="18"/>
                <w:lang w:val="mk-MK"/>
              </w:rPr>
              <w:t xml:space="preserve">владини организации, баратели, </w:t>
            </w:r>
            <w:r w:rsidR="00044AAF">
              <w:rPr>
                <w:color w:val="878786"/>
                <w:spacing w:val="-6"/>
                <w:w w:val="124"/>
                <w:sz w:val="18"/>
                <w:szCs w:val="18"/>
                <w:lang w:val="mk-MK"/>
              </w:rPr>
              <w:t xml:space="preserve">службени и одговорни лица кај имателите на информации од јавен карактер. Исто така, преку одржани предавања со Законот се запознаваа и студентите од повеќе факултетски установи. На веб локацијата на Комисијата се поставени во форма </w:t>
            </w:r>
            <w:r w:rsidR="00B451CD">
              <w:rPr>
                <w:color w:val="878786"/>
                <w:spacing w:val="-6"/>
                <w:w w:val="124"/>
                <w:sz w:val="18"/>
                <w:szCs w:val="18"/>
                <w:lang w:val="mk-MK"/>
              </w:rPr>
              <w:t xml:space="preserve">на </w:t>
            </w:r>
            <w:r w:rsidR="00044AAF">
              <w:rPr>
                <w:color w:val="878786"/>
                <w:spacing w:val="-6"/>
                <w:w w:val="124"/>
                <w:sz w:val="18"/>
                <w:szCs w:val="18"/>
                <w:lang w:val="mk-MK"/>
              </w:rPr>
              <w:t xml:space="preserve">банер/линк апликативните решенија на Фондацијата отворено општество Македонија </w:t>
            </w:r>
            <w:r w:rsidR="00B451CD">
              <w:rPr>
                <w:color w:val="878786"/>
                <w:spacing w:val="-6"/>
                <w:w w:val="124"/>
                <w:sz w:val="18"/>
                <w:szCs w:val="18"/>
                <w:lang w:val="mk-MK"/>
              </w:rPr>
              <w:t>(</w:t>
            </w:r>
            <w:hyperlink r:id="rId11" w:history="1">
              <w:r w:rsidR="00B451CD" w:rsidRPr="00B56EB2">
                <w:rPr>
                  <w:rStyle w:val="Hyperlink"/>
                  <w:spacing w:val="-6"/>
                  <w:w w:val="124"/>
                  <w:sz w:val="18"/>
                  <w:szCs w:val="18"/>
                  <w:lang w:val="mk-MK"/>
                </w:rPr>
                <w:t>http://slobodenpristap.mk/</w:t>
              </w:r>
            </w:hyperlink>
            <w:r w:rsidR="00044AAF" w:rsidRPr="00044AAF">
              <w:rPr>
                <w:color w:val="878786"/>
                <w:spacing w:val="-6"/>
                <w:w w:val="124"/>
                <w:sz w:val="18"/>
                <w:szCs w:val="18"/>
                <w:lang w:val="mk-MK"/>
              </w:rPr>
              <w:t>)</w:t>
            </w:r>
            <w:r w:rsidR="00B451CD">
              <w:rPr>
                <w:color w:val="878786"/>
                <w:spacing w:val="-6"/>
                <w:w w:val="124"/>
                <w:sz w:val="18"/>
                <w:szCs w:val="18"/>
                <w:lang w:val="mk-MK"/>
              </w:rPr>
              <w:t xml:space="preserve"> </w:t>
            </w:r>
            <w:r w:rsidR="00044AAF" w:rsidRPr="00044AAF">
              <w:rPr>
                <w:color w:val="878786"/>
                <w:spacing w:val="-6"/>
                <w:w w:val="124"/>
                <w:sz w:val="18"/>
                <w:szCs w:val="18"/>
                <w:lang w:val="mk-MK"/>
              </w:rPr>
              <w:t xml:space="preserve"> </w:t>
            </w:r>
            <w:r w:rsidR="00044AAF">
              <w:rPr>
                <w:color w:val="878786"/>
                <w:spacing w:val="-6"/>
                <w:w w:val="124"/>
                <w:sz w:val="18"/>
                <w:szCs w:val="18"/>
                <w:lang w:val="mk-MK"/>
              </w:rPr>
              <w:t xml:space="preserve"> и на Здружението ЕСЕ (</w:t>
            </w:r>
            <w:hyperlink r:id="rId12" w:history="1">
              <w:r w:rsidR="00044AAF" w:rsidRPr="00B56EB2">
                <w:rPr>
                  <w:rStyle w:val="Hyperlink"/>
                  <w:spacing w:val="-6"/>
                  <w:w w:val="124"/>
                  <w:sz w:val="18"/>
                  <w:szCs w:val="18"/>
                  <w:lang w:val="mk-MK"/>
                </w:rPr>
                <w:t>http://www.fiskalnatransparentnost.org.mk/</w:t>
              </w:r>
            </w:hyperlink>
            <w:r w:rsidR="00044AAF">
              <w:rPr>
                <w:color w:val="878786"/>
                <w:spacing w:val="-6"/>
                <w:w w:val="124"/>
                <w:sz w:val="18"/>
                <w:szCs w:val="18"/>
                <w:lang w:val="mk-MK"/>
              </w:rPr>
              <w:t xml:space="preserve">). Изработена и </w:t>
            </w:r>
            <w:r w:rsidR="00B451CD">
              <w:rPr>
                <w:color w:val="878786"/>
                <w:spacing w:val="-6"/>
                <w:w w:val="124"/>
                <w:sz w:val="18"/>
                <w:szCs w:val="18"/>
                <w:lang w:val="mk-MK"/>
              </w:rPr>
              <w:t xml:space="preserve">е во функција </w:t>
            </w:r>
            <w:r w:rsidR="00044AAF">
              <w:rPr>
                <w:color w:val="878786"/>
                <w:spacing w:val="-6"/>
                <w:w w:val="124"/>
                <w:sz w:val="18"/>
                <w:szCs w:val="18"/>
                <w:lang w:val="mk-MK"/>
              </w:rPr>
              <w:t>новата веб локација на Комисијат</w:t>
            </w:r>
            <w:r w:rsidR="00B451CD">
              <w:rPr>
                <w:color w:val="878786"/>
                <w:spacing w:val="-6"/>
                <w:w w:val="124"/>
                <w:sz w:val="18"/>
                <w:szCs w:val="18"/>
                <w:lang w:val="mk-MK"/>
              </w:rPr>
              <w:t xml:space="preserve">а, во соработка со МИОА, на која на најтранспарентен начин се прикажува работата на Комисијата, преку поместување на сите потребни информации кои се однесуваат на Законот за СПИЈК. Финансиските и човечките ресурси се подобрени, а подобрена е соработката и на Министерството за здравство со Здружението ЕСЕ во однос на објавувањето на информации за буџетската и финансиската имплементација на превентивните програми на Министерството. </w:t>
            </w:r>
            <w:r w:rsidR="00044AAF">
              <w:rPr>
                <w:color w:val="878786"/>
                <w:spacing w:val="-6"/>
                <w:w w:val="124"/>
                <w:sz w:val="18"/>
                <w:szCs w:val="18"/>
                <w:lang w:val="mk-MK"/>
              </w:rPr>
              <w:t xml:space="preserve"> </w:t>
            </w:r>
          </w:p>
        </w:tc>
      </w:tr>
    </w:tbl>
    <w:p w:rsidR="004C22CC" w:rsidRDefault="004C22CC"/>
    <w:sectPr w:rsidR="004C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6743"/>
    <w:multiLevelType w:val="hybridMultilevel"/>
    <w:tmpl w:val="715AF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DA64E3"/>
    <w:multiLevelType w:val="hybridMultilevel"/>
    <w:tmpl w:val="3C54D550"/>
    <w:lvl w:ilvl="0" w:tplc="E1725B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927B88"/>
    <w:multiLevelType w:val="hybridMultilevel"/>
    <w:tmpl w:val="EE2A6862"/>
    <w:lvl w:ilvl="0" w:tplc="461288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E5"/>
    <w:rsid w:val="00044AAF"/>
    <w:rsid w:val="001F06B7"/>
    <w:rsid w:val="00202F45"/>
    <w:rsid w:val="00384147"/>
    <w:rsid w:val="003E7CF5"/>
    <w:rsid w:val="004B3C40"/>
    <w:rsid w:val="004C22CC"/>
    <w:rsid w:val="00647A7B"/>
    <w:rsid w:val="008F10C7"/>
    <w:rsid w:val="0094761A"/>
    <w:rsid w:val="009C6C1B"/>
    <w:rsid w:val="00AA6D9C"/>
    <w:rsid w:val="00B132E5"/>
    <w:rsid w:val="00B269A1"/>
    <w:rsid w:val="00B4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2E5"/>
    <w:pPr>
      <w:ind w:left="720"/>
      <w:contextualSpacing/>
    </w:pPr>
  </w:style>
  <w:style w:type="character" w:styleId="Hyperlink">
    <w:name w:val="Hyperlink"/>
    <w:basedOn w:val="DefaultParagraphFont"/>
    <w:uiPriority w:val="99"/>
    <w:rsid w:val="00B132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2E5"/>
    <w:pPr>
      <w:ind w:left="720"/>
      <w:contextualSpacing/>
    </w:pPr>
  </w:style>
  <w:style w:type="character" w:styleId="Hyperlink">
    <w:name w:val="Hyperlink"/>
    <w:basedOn w:val="DefaultParagraphFont"/>
    <w:uiPriority w:val="99"/>
    <w:rsid w:val="00B13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serafimovski@komspi.m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cetashevski@komspi.mk" TargetMode="External"/><Relationship Id="rId12" Type="http://schemas.openxmlformats.org/officeDocument/2006/relationships/hyperlink" Target="http://www.fiskalnatransparentnost.org.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spi@komspi.mk" TargetMode="External"/><Relationship Id="rId11" Type="http://schemas.openxmlformats.org/officeDocument/2006/relationships/hyperlink" Target="http://slobodenpristap.mk/" TargetMode="External"/><Relationship Id="rId5" Type="http://schemas.openxmlformats.org/officeDocument/2006/relationships/webSettings" Target="webSettings.xml"/><Relationship Id="rId10" Type="http://schemas.openxmlformats.org/officeDocument/2006/relationships/hyperlink" Target="http://www.fiskalnatransparentnost.org.mk/" TargetMode="External"/><Relationship Id="rId4" Type="http://schemas.openxmlformats.org/officeDocument/2006/relationships/settings" Target="settings.xml"/><Relationship Id="rId9" Type="http://schemas.openxmlformats.org/officeDocument/2006/relationships/hyperlink" Target="http://slobodenpristap.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6</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Oliver</cp:lastModifiedBy>
  <cp:revision>20</cp:revision>
  <cp:lastPrinted>2015-11-27T07:49:00Z</cp:lastPrinted>
  <dcterms:created xsi:type="dcterms:W3CDTF">2015-11-26T10:55:00Z</dcterms:created>
  <dcterms:modified xsi:type="dcterms:W3CDTF">2015-11-30T11:04:00Z</dcterms:modified>
</cp:coreProperties>
</file>